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53" w:rsidRPr="002461C9" w:rsidRDefault="00147953" w:rsidP="00147953">
      <w:pPr>
        <w:tabs>
          <w:tab w:val="left" w:pos="284"/>
        </w:tabs>
        <w:jc w:val="center"/>
        <w:rPr>
          <w:b/>
          <w:iCs/>
        </w:rPr>
      </w:pPr>
      <w:r w:rsidRPr="002461C9">
        <w:rPr>
          <w:b/>
          <w:iCs/>
        </w:rPr>
        <w:t>Приватне акціонерне товариство "Хорольський механічний завод"</w:t>
      </w:r>
    </w:p>
    <w:p w:rsidR="00147953" w:rsidRPr="002461C9" w:rsidRDefault="00147953" w:rsidP="00147953">
      <w:pPr>
        <w:tabs>
          <w:tab w:val="left" w:pos="284"/>
        </w:tabs>
        <w:jc w:val="both"/>
        <w:rPr>
          <w:b/>
          <w:iCs/>
        </w:rPr>
      </w:pPr>
      <w:r w:rsidRPr="002461C9">
        <w:rPr>
          <w:iCs/>
        </w:rPr>
        <w:t xml:space="preserve">(ідентифікаційний код </w:t>
      </w:r>
      <w:r w:rsidRPr="002461C9">
        <w:rPr>
          <w:sz w:val="22"/>
          <w:szCs w:val="22"/>
        </w:rPr>
        <w:t xml:space="preserve">14311353, </w:t>
      </w:r>
      <w:r w:rsidRPr="002461C9">
        <w:rPr>
          <w:iCs/>
        </w:rPr>
        <w:t>місцезнаходження: Полтавська обл., м. Хорол, вул. Небесної сотні, 106) (</w:t>
      </w:r>
      <w:r w:rsidRPr="002461C9">
        <w:t xml:space="preserve">далі – Товариство) повідомляє про скликання річних загальних зборів акціонерів товариства (далі – загальні збори), які будуть проведені дистанційно відповідно до Порядку скликання та проведення дистанційних загальних зборів, затвердженого рішенням Національної комісії з цінних паперів та фондового ринку </w:t>
      </w:r>
      <w:r w:rsidRPr="002461C9">
        <w:rPr>
          <w:spacing w:val="-2"/>
        </w:rPr>
        <w:t xml:space="preserve">(надалі – НКЦПФР) </w:t>
      </w:r>
      <w:r w:rsidRPr="002461C9">
        <w:t>від 06.03.2023 №236.</w:t>
      </w:r>
    </w:p>
    <w:p w:rsidR="00147953" w:rsidRPr="002461C9" w:rsidRDefault="00147953" w:rsidP="00147953">
      <w:pPr>
        <w:jc w:val="both"/>
      </w:pPr>
      <w:r w:rsidRPr="002461C9">
        <w:t xml:space="preserve">Дата проведення загальних зборів (дата завершення голосування) – 27.04.2023р. </w:t>
      </w:r>
    </w:p>
    <w:p w:rsidR="00147953" w:rsidRPr="002461C9" w:rsidRDefault="00147953" w:rsidP="00147953">
      <w:pPr>
        <w:jc w:val="both"/>
      </w:pPr>
      <w:r w:rsidRPr="002461C9">
        <w:t>Дата і час початку надсилання до депозитарної установи єдиних бюлетенів для голосування – 11:00 17.04.2023р.;</w:t>
      </w:r>
    </w:p>
    <w:p w:rsidR="00147953" w:rsidRPr="002461C9" w:rsidRDefault="00147953" w:rsidP="00147953">
      <w:pPr>
        <w:jc w:val="both"/>
      </w:pPr>
      <w:r w:rsidRPr="002461C9">
        <w:t>Дата і час завершення надсилання до депозитарної установи єдиних бюлетенів для голосування – 18:00 27.04.2023р.;</w:t>
      </w:r>
    </w:p>
    <w:p w:rsidR="00147953" w:rsidRPr="002461C9" w:rsidRDefault="00147953" w:rsidP="00147953">
      <w:pPr>
        <w:jc w:val="both"/>
      </w:pPr>
      <w:r w:rsidRPr="002461C9">
        <w:t xml:space="preserve">Дата розміщення єдиного бюлетеня для голосування у вільному для акціонерів доступі на сторінці власного веб-сайту товариства https://mehzavod.com.ua/ua/aktsioneram – 17.04.2023р. </w:t>
      </w:r>
    </w:p>
    <w:p w:rsidR="00147953" w:rsidRPr="002461C9" w:rsidRDefault="00147953" w:rsidP="00147953">
      <w:pPr>
        <w:jc w:val="both"/>
        <w:rPr>
          <w:b/>
          <w:iCs/>
        </w:rPr>
      </w:pPr>
      <w:r w:rsidRPr="002461C9">
        <w:t>Дата складення переліку акціонерів, які мають право на участь у загальних зборах, – 24.04.2023р.</w:t>
      </w:r>
    </w:p>
    <w:p w:rsidR="00147953" w:rsidRPr="002461C9" w:rsidRDefault="00147953" w:rsidP="00147953">
      <w:pPr>
        <w:tabs>
          <w:tab w:val="left" w:pos="284"/>
        </w:tabs>
        <w:jc w:val="center"/>
        <w:rPr>
          <w:b/>
          <w:iCs/>
        </w:rPr>
      </w:pPr>
      <w:r>
        <w:rPr>
          <w:b/>
          <w:iCs/>
        </w:rPr>
        <w:t>Проє</w:t>
      </w:r>
      <w:r w:rsidRPr="002461C9">
        <w:rPr>
          <w:b/>
          <w:iCs/>
        </w:rPr>
        <w:t>кт порядку денного:</w:t>
      </w:r>
    </w:p>
    <w:p w:rsidR="00147953" w:rsidRPr="002461C9" w:rsidRDefault="00147953" w:rsidP="00147953">
      <w:pPr>
        <w:ind w:firstLine="567"/>
        <w:jc w:val="both"/>
        <w:rPr>
          <w:b/>
        </w:rPr>
      </w:pPr>
      <w:r w:rsidRPr="002461C9">
        <w:rPr>
          <w:b/>
        </w:rPr>
        <w:t>1. Розгляд звіту Наглядової ради та прийняття рішення за наслідками його розгляду.</w:t>
      </w:r>
    </w:p>
    <w:p w:rsidR="00147953" w:rsidRPr="002461C9" w:rsidRDefault="00147953" w:rsidP="00147953">
      <w:pPr>
        <w:ind w:firstLine="567"/>
        <w:jc w:val="both"/>
      </w:pPr>
      <w:r w:rsidRPr="002461C9">
        <w:rPr>
          <w:rStyle w:val="a3"/>
          <w:u w:val="single"/>
        </w:rPr>
        <w:t>Проєкт рішення</w:t>
      </w:r>
      <w:r w:rsidRPr="002461C9">
        <w:rPr>
          <w:b/>
        </w:rPr>
        <w:t>:</w:t>
      </w:r>
      <w:r w:rsidRPr="002461C9">
        <w:rPr>
          <w:bCs/>
        </w:rPr>
        <w:t xml:space="preserve"> Затвердити звіт Н</w:t>
      </w:r>
      <w:r w:rsidRPr="002461C9">
        <w:t>аглядової ради</w:t>
      </w:r>
      <w:r w:rsidRPr="002461C9">
        <w:rPr>
          <w:bCs/>
        </w:rPr>
        <w:t xml:space="preserve"> за 2022 рік.</w:t>
      </w:r>
    </w:p>
    <w:p w:rsidR="00147953" w:rsidRPr="002461C9" w:rsidRDefault="00147953" w:rsidP="00147953">
      <w:pPr>
        <w:ind w:firstLine="567"/>
        <w:jc w:val="both"/>
        <w:rPr>
          <w:b/>
          <w:bCs/>
        </w:rPr>
      </w:pPr>
      <w:r w:rsidRPr="002461C9">
        <w:rPr>
          <w:b/>
          <w:bCs/>
        </w:rPr>
        <w:t xml:space="preserve">2. </w:t>
      </w:r>
      <w:r w:rsidRPr="002461C9">
        <w:rPr>
          <w:b/>
        </w:rPr>
        <w:t xml:space="preserve">Затвердження результатів фінансово-господарської діяльності </w:t>
      </w:r>
      <w:r w:rsidRPr="002461C9">
        <w:rPr>
          <w:b/>
          <w:bCs/>
        </w:rPr>
        <w:t>за 2022 рік.</w:t>
      </w:r>
    </w:p>
    <w:p w:rsidR="00147953" w:rsidRPr="002461C9" w:rsidRDefault="00147953" w:rsidP="00147953">
      <w:pPr>
        <w:ind w:firstLine="567"/>
        <w:jc w:val="both"/>
        <w:rPr>
          <w:bCs/>
        </w:rPr>
      </w:pPr>
      <w:r w:rsidRPr="002461C9">
        <w:rPr>
          <w:rStyle w:val="a3"/>
          <w:u w:val="single"/>
        </w:rPr>
        <w:t>Проєкт рішення</w:t>
      </w:r>
      <w:r w:rsidRPr="002461C9">
        <w:rPr>
          <w:b/>
        </w:rPr>
        <w:t>:</w:t>
      </w:r>
      <w:r w:rsidRPr="002461C9">
        <w:rPr>
          <w:bCs/>
        </w:rPr>
        <w:t xml:space="preserve"> Затвердити </w:t>
      </w:r>
      <w:r w:rsidRPr="002461C9">
        <w:t xml:space="preserve">результати фінансово-господарської діяльності </w:t>
      </w:r>
      <w:r w:rsidRPr="002461C9">
        <w:rPr>
          <w:bCs/>
        </w:rPr>
        <w:t>за 2022 рік.</w:t>
      </w:r>
    </w:p>
    <w:p w:rsidR="00147953" w:rsidRPr="002461C9" w:rsidRDefault="00147953" w:rsidP="00147953">
      <w:pPr>
        <w:ind w:firstLine="567"/>
        <w:jc w:val="both"/>
        <w:rPr>
          <w:b/>
        </w:rPr>
      </w:pPr>
      <w:r w:rsidRPr="002461C9">
        <w:rPr>
          <w:b/>
          <w:bCs/>
        </w:rPr>
        <w:t xml:space="preserve">3. </w:t>
      </w:r>
      <w:r w:rsidRPr="002461C9">
        <w:rPr>
          <w:b/>
        </w:rPr>
        <w:t>Призначення суб’єкта аудиторської діяльності.</w:t>
      </w:r>
    </w:p>
    <w:p w:rsidR="00147953" w:rsidRPr="002461C9" w:rsidRDefault="00147953" w:rsidP="00147953">
      <w:pPr>
        <w:ind w:firstLine="567"/>
        <w:jc w:val="both"/>
      </w:pPr>
      <w:r w:rsidRPr="002461C9">
        <w:rPr>
          <w:rStyle w:val="a3"/>
          <w:u w:val="single"/>
        </w:rPr>
        <w:t>Проєкт рішення</w:t>
      </w:r>
      <w:r w:rsidRPr="002461C9">
        <w:rPr>
          <w:b/>
        </w:rPr>
        <w:t>:</w:t>
      </w:r>
      <w:r w:rsidRPr="002461C9">
        <w:t xml:space="preserve"> Призначити суб'єктом аудиторської діяльності </w:t>
      </w:r>
      <w:r w:rsidRPr="002461C9">
        <w:rPr>
          <w:lang w:eastAsia="uk-UA"/>
        </w:rPr>
        <w:t>Товариство з обмеженою відповідальністю «Аудиторська фірма «ГАЛИЧИНА - АУДИТСЕРВІС»</w:t>
      </w:r>
      <w:r w:rsidRPr="002461C9">
        <w:rPr>
          <w:b/>
        </w:rPr>
        <w:t xml:space="preserve"> </w:t>
      </w:r>
      <w:r w:rsidRPr="002461C9">
        <w:t>(ідентифікаційний код 22599983).</w:t>
      </w:r>
    </w:p>
    <w:p w:rsidR="00147953" w:rsidRPr="002461C9" w:rsidRDefault="00147953" w:rsidP="00147953">
      <w:pPr>
        <w:ind w:firstLine="567"/>
        <w:jc w:val="both"/>
        <w:rPr>
          <w:b/>
        </w:rPr>
      </w:pPr>
      <w:r w:rsidRPr="002461C9">
        <w:rPr>
          <w:b/>
        </w:rPr>
        <w:t>4. Розгляд висновків аудиторського звіту суб’єкта аудиторської діяльності та затвердження заходів за результатами розгляду такого звіту.</w:t>
      </w:r>
    </w:p>
    <w:p w:rsidR="00147953" w:rsidRPr="002461C9" w:rsidRDefault="00147953" w:rsidP="00147953">
      <w:pPr>
        <w:ind w:firstLine="567"/>
        <w:jc w:val="both"/>
        <w:rPr>
          <w:b/>
          <w:bCs/>
        </w:rPr>
      </w:pPr>
      <w:r w:rsidRPr="002461C9">
        <w:rPr>
          <w:rStyle w:val="a3"/>
          <w:u w:val="single"/>
        </w:rPr>
        <w:t>Проєкт рішення</w:t>
      </w:r>
      <w:r w:rsidRPr="002461C9">
        <w:rPr>
          <w:b/>
        </w:rPr>
        <w:t>:</w:t>
      </w:r>
      <w:r w:rsidRPr="002461C9">
        <w:t xml:space="preserve"> Взяти до відому висновки </w:t>
      </w:r>
      <w:r w:rsidRPr="002461C9">
        <w:rPr>
          <w:shd w:val="clear" w:color="auto" w:fill="FFFFFF"/>
        </w:rPr>
        <w:t xml:space="preserve">зовнішнього аудиту фінансової звітності Товариства за 2022р. та доручити Правлінню вжити заходів щодо виконання рекомендацій наданих </w:t>
      </w:r>
      <w:r w:rsidRPr="002461C9">
        <w:t>суб'єктом аудиторської діяльності</w:t>
      </w:r>
      <w:r w:rsidRPr="002461C9">
        <w:rPr>
          <w:shd w:val="clear" w:color="auto" w:fill="FFFFFF"/>
        </w:rPr>
        <w:t>.</w:t>
      </w:r>
    </w:p>
    <w:p w:rsidR="00147953" w:rsidRPr="002461C9" w:rsidRDefault="00147953" w:rsidP="00147953">
      <w:pPr>
        <w:ind w:firstLine="567"/>
        <w:jc w:val="both"/>
        <w:rPr>
          <w:b/>
        </w:rPr>
      </w:pPr>
      <w:r w:rsidRPr="002461C9">
        <w:rPr>
          <w:b/>
        </w:rPr>
        <w:t>5. Розподіл прибутку за 2022 рік.</w:t>
      </w:r>
    </w:p>
    <w:p w:rsidR="00147953" w:rsidRPr="002461C9" w:rsidRDefault="00147953" w:rsidP="00147953">
      <w:pPr>
        <w:shd w:val="clear" w:color="auto" w:fill="FFFFFF"/>
        <w:ind w:firstLine="567"/>
        <w:jc w:val="both"/>
      </w:pPr>
      <w:r w:rsidRPr="002461C9">
        <w:rPr>
          <w:u w:val="single"/>
        </w:rPr>
        <w:t>Проєкт рішення</w:t>
      </w:r>
      <w:r w:rsidRPr="002461C9">
        <w:t xml:space="preserve">: </w:t>
      </w:r>
      <w:r w:rsidRPr="002461C9">
        <w:rPr>
          <w:shd w:val="clear" w:color="auto" w:fill="FFFFFF"/>
        </w:rPr>
        <w:t>Чистий прибуток товариства за 2022 рік в розмірі 109 819 860,74 грн. розподілити наступним чином:</w:t>
      </w:r>
    </w:p>
    <w:p w:rsidR="00147953" w:rsidRPr="002461C9" w:rsidRDefault="00147953" w:rsidP="00147953">
      <w:pPr>
        <w:shd w:val="clear" w:color="auto" w:fill="FFFFFF"/>
        <w:jc w:val="both"/>
      </w:pPr>
      <w:r w:rsidRPr="002461C9">
        <w:rPr>
          <w:shd w:val="clear" w:color="auto" w:fill="FFFFFF"/>
        </w:rPr>
        <w:t xml:space="preserve">- 10,7 %, що становить </w:t>
      </w:r>
      <w:r w:rsidRPr="002461C9">
        <w:rPr>
          <w:rFonts w:eastAsiaTheme="minorHAnsi"/>
        </w:rPr>
        <w:t>11 743 683</w:t>
      </w:r>
      <w:r w:rsidRPr="002461C9">
        <w:rPr>
          <w:shd w:val="clear" w:color="auto" w:fill="FFFFFF"/>
        </w:rPr>
        <w:t xml:space="preserve"> грн., направити на виплату дивідендів;</w:t>
      </w:r>
    </w:p>
    <w:p w:rsidR="00147953" w:rsidRPr="002461C9" w:rsidRDefault="00147953" w:rsidP="00147953">
      <w:pPr>
        <w:jc w:val="both"/>
      </w:pPr>
      <w:r w:rsidRPr="002461C9">
        <w:rPr>
          <w:shd w:val="clear" w:color="auto" w:fill="FFFFFF"/>
        </w:rPr>
        <w:t xml:space="preserve">- 89,3 % , що становить 98 076 177,74  грн., </w:t>
      </w:r>
      <w:r w:rsidRPr="002461C9">
        <w:rPr>
          <w:iCs/>
        </w:rPr>
        <w:t>направити на розвиток виробництва, поповнення обігових коштів, вирішення питань соціального характеру</w:t>
      </w:r>
      <w:r w:rsidRPr="002461C9">
        <w:rPr>
          <w:shd w:val="clear" w:color="auto" w:fill="FFFFFF"/>
        </w:rPr>
        <w:t>.</w:t>
      </w:r>
    </w:p>
    <w:p w:rsidR="00147953" w:rsidRPr="002461C9" w:rsidRDefault="00147953" w:rsidP="00147953">
      <w:pPr>
        <w:ind w:firstLine="567"/>
        <w:jc w:val="both"/>
        <w:rPr>
          <w:b/>
        </w:rPr>
      </w:pPr>
      <w:r w:rsidRPr="002461C9">
        <w:rPr>
          <w:b/>
        </w:rPr>
        <w:t>6. Прийняття рішення про виплату та затвердження розміру річних дивідендів, способу їх виплати.</w:t>
      </w:r>
    </w:p>
    <w:p w:rsidR="00147953" w:rsidRPr="002461C9" w:rsidRDefault="00147953" w:rsidP="00147953">
      <w:pPr>
        <w:ind w:firstLine="567"/>
        <w:jc w:val="both"/>
        <w:rPr>
          <w:iCs/>
        </w:rPr>
      </w:pPr>
      <w:r w:rsidRPr="002461C9">
        <w:rPr>
          <w:u w:val="single"/>
        </w:rPr>
        <w:t>Проєкт рішення</w:t>
      </w:r>
      <w:r w:rsidRPr="002461C9">
        <w:t xml:space="preserve">: Провести виплату дивідендів за підсумками 2022 р. Затвердити розмір дивідендів у сумі </w:t>
      </w:r>
      <w:r w:rsidRPr="002461C9">
        <w:rPr>
          <w:rFonts w:eastAsiaTheme="minorHAnsi"/>
        </w:rPr>
        <w:t>11 743 683</w:t>
      </w:r>
      <w:r w:rsidRPr="002461C9">
        <w:rPr>
          <w:shd w:val="clear" w:color="auto" w:fill="FFFFFF"/>
        </w:rPr>
        <w:t xml:space="preserve"> грн.</w:t>
      </w:r>
      <w:r w:rsidRPr="002461C9">
        <w:t xml:space="preserve"> (</w:t>
      </w:r>
      <w:r w:rsidRPr="002461C9">
        <w:rPr>
          <w:shd w:val="clear" w:color="auto" w:fill="FFFFFF"/>
        </w:rPr>
        <w:t>1,00 грн.</w:t>
      </w:r>
      <w:r w:rsidRPr="002461C9">
        <w:t xml:space="preserve"> на одну акцію).</w:t>
      </w:r>
      <w:r w:rsidRPr="002461C9">
        <w:rPr>
          <w:iCs/>
        </w:rPr>
        <w:t xml:space="preserve"> Визначити спосіб виплати дивідендів – безпосередньо акціонерам.</w:t>
      </w:r>
    </w:p>
    <w:p w:rsidR="00147953" w:rsidRPr="002461C9" w:rsidRDefault="00147953" w:rsidP="00147953">
      <w:pPr>
        <w:ind w:firstLine="567"/>
        <w:jc w:val="both"/>
      </w:pPr>
      <w:r w:rsidRPr="002461C9">
        <w:t>(По питанню 6 наявний взаємозв’язок з питанням 5 проєкту порядку денного).</w:t>
      </w:r>
    </w:p>
    <w:p w:rsidR="00147953" w:rsidRPr="002461C9" w:rsidRDefault="00147953" w:rsidP="00147953">
      <w:pPr>
        <w:ind w:firstLine="567"/>
        <w:jc w:val="both"/>
        <w:rPr>
          <w:b/>
          <w:iCs/>
        </w:rPr>
      </w:pPr>
      <w:r w:rsidRPr="002461C9">
        <w:rPr>
          <w:b/>
          <w:iCs/>
        </w:rPr>
        <w:t xml:space="preserve">7. Приведення статуту товариства у відповідність до Закону України «Про акціонерні товариства» №2465-ІХ від 27.07.2022р. та затвердження статуту в новій редакції. Визначення особи, уповноваженої на підписання нової редакції статуту </w:t>
      </w:r>
    </w:p>
    <w:p w:rsidR="00147953" w:rsidRPr="002461C9" w:rsidRDefault="00147953" w:rsidP="00147953">
      <w:pPr>
        <w:ind w:firstLine="567"/>
        <w:jc w:val="both"/>
        <w:rPr>
          <w:iCs/>
        </w:rPr>
      </w:pPr>
      <w:r w:rsidRPr="002461C9">
        <w:rPr>
          <w:iCs/>
          <w:u w:val="single"/>
        </w:rPr>
        <w:t>Проєкт рішення</w:t>
      </w:r>
      <w:r w:rsidRPr="002461C9">
        <w:rPr>
          <w:iCs/>
        </w:rPr>
        <w:t>: 1. Привести статут товариства у відповідність до Закону України «Про акціонерні товариства» №2465-ІХ від 27.07.2022р. та затвердити статут Приватного акціонерного товариства "Хорольський механічний завод" в новій редакції. 2. Надати повноваження головуючому та секретарю загальних зборів підписати статут товариства в новій редакції.</w:t>
      </w:r>
      <w:r w:rsidRPr="002461C9">
        <w:rPr>
          <w:iCs/>
        </w:rPr>
        <w:br/>
        <w:t xml:space="preserve">3. Надати повноваження Голові правління </w:t>
      </w:r>
      <w:r>
        <w:rPr>
          <w:iCs/>
        </w:rPr>
        <w:t xml:space="preserve">товариства </w:t>
      </w:r>
      <w:r w:rsidRPr="002461C9">
        <w:rPr>
          <w:iCs/>
        </w:rPr>
        <w:t>Міщенку Михайлу Івановичу здійснити всі необхідні дії для проведення державної реєстрації статуту товариства в новій редакції.</w:t>
      </w:r>
    </w:p>
    <w:p w:rsidR="00147953" w:rsidRPr="002461C9" w:rsidRDefault="00147953" w:rsidP="00147953">
      <w:pPr>
        <w:ind w:firstLine="567"/>
        <w:jc w:val="both"/>
        <w:rPr>
          <w:b/>
          <w:iCs/>
        </w:rPr>
      </w:pPr>
      <w:r w:rsidRPr="002461C9">
        <w:rPr>
          <w:b/>
          <w:iCs/>
        </w:rPr>
        <w:t>8. Внесення змін до внутрішніх положень товариства шляхом викладення їх в новій редакції.</w:t>
      </w:r>
    </w:p>
    <w:p w:rsidR="00147953" w:rsidRPr="002461C9" w:rsidRDefault="00147953" w:rsidP="00147953">
      <w:pPr>
        <w:ind w:firstLine="567"/>
        <w:jc w:val="both"/>
        <w:rPr>
          <w:iCs/>
        </w:rPr>
      </w:pPr>
      <w:r w:rsidRPr="002461C9">
        <w:rPr>
          <w:iCs/>
          <w:u w:val="single"/>
        </w:rPr>
        <w:t>Проєкт рішення:</w:t>
      </w:r>
      <w:r w:rsidRPr="002461C9">
        <w:rPr>
          <w:iCs/>
        </w:rPr>
        <w:t xml:space="preserve"> Внести зміни до Положення про загальні збори та Положення про наглядову раду шляхом викладення їх в новій редакції.</w:t>
      </w:r>
    </w:p>
    <w:p w:rsidR="00147953" w:rsidRPr="002461C9" w:rsidRDefault="00147953" w:rsidP="00147953">
      <w:pPr>
        <w:ind w:firstLine="567"/>
        <w:jc w:val="both"/>
        <w:rPr>
          <w:iCs/>
        </w:rPr>
      </w:pPr>
      <w:r w:rsidRPr="002461C9">
        <w:rPr>
          <w:iCs/>
        </w:rPr>
        <w:t>(По питанню 8 наявний взаємозв’язок з питанням 7 проєкту порядку денного).</w:t>
      </w:r>
    </w:p>
    <w:p w:rsidR="00147953" w:rsidRPr="002461C9" w:rsidRDefault="00147953" w:rsidP="00147953">
      <w:pPr>
        <w:tabs>
          <w:tab w:val="left" w:pos="284"/>
        </w:tabs>
        <w:jc w:val="center"/>
        <w:rPr>
          <w:iCs/>
        </w:rPr>
      </w:pPr>
    </w:p>
    <w:p w:rsidR="00147953" w:rsidRPr="002461C9" w:rsidRDefault="00147953" w:rsidP="00147953">
      <w:pPr>
        <w:tabs>
          <w:tab w:val="left" w:pos="284"/>
        </w:tabs>
        <w:jc w:val="center"/>
        <w:rPr>
          <w:b/>
          <w:iCs/>
        </w:rPr>
      </w:pPr>
      <w:r w:rsidRPr="002461C9">
        <w:rPr>
          <w:b/>
          <w:iCs/>
        </w:rPr>
        <w:t>Основні показники фінансово-господарської діяльності підприємства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2"/>
        <w:gridCol w:w="1688"/>
        <w:gridCol w:w="1533"/>
      </w:tblGrid>
      <w:tr w:rsidR="00147953" w:rsidRPr="002461C9" w:rsidTr="0084548E">
        <w:tc>
          <w:tcPr>
            <w:tcW w:w="6582" w:type="dxa"/>
            <w:vMerge w:val="restart"/>
            <w:shd w:val="clear" w:color="auto" w:fill="auto"/>
          </w:tcPr>
          <w:p w:rsidR="00147953" w:rsidRPr="002461C9" w:rsidRDefault="00147953" w:rsidP="0084548E">
            <w:pPr>
              <w:tabs>
                <w:tab w:val="left" w:pos="284"/>
              </w:tabs>
              <w:jc w:val="center"/>
              <w:rPr>
                <w:iCs/>
              </w:rPr>
            </w:pPr>
            <w:r w:rsidRPr="002461C9">
              <w:rPr>
                <w:iCs/>
              </w:rPr>
              <w:lastRenderedPageBreak/>
              <w:t>Найменування показника</w:t>
            </w:r>
          </w:p>
        </w:tc>
        <w:tc>
          <w:tcPr>
            <w:tcW w:w="3221" w:type="dxa"/>
            <w:gridSpan w:val="2"/>
            <w:shd w:val="clear" w:color="auto" w:fill="auto"/>
          </w:tcPr>
          <w:p w:rsidR="00147953" w:rsidRPr="002461C9" w:rsidRDefault="00147953" w:rsidP="0084548E">
            <w:pPr>
              <w:tabs>
                <w:tab w:val="left" w:pos="284"/>
              </w:tabs>
              <w:jc w:val="center"/>
              <w:rPr>
                <w:iCs/>
              </w:rPr>
            </w:pPr>
            <w:r w:rsidRPr="002461C9">
              <w:rPr>
                <w:iCs/>
              </w:rPr>
              <w:t>період</w:t>
            </w:r>
          </w:p>
        </w:tc>
      </w:tr>
      <w:tr w:rsidR="00147953" w:rsidRPr="002461C9" w:rsidTr="0084548E">
        <w:tc>
          <w:tcPr>
            <w:tcW w:w="6582" w:type="dxa"/>
            <w:vMerge/>
            <w:shd w:val="clear" w:color="auto" w:fill="auto"/>
          </w:tcPr>
          <w:p w:rsidR="00147953" w:rsidRPr="002461C9" w:rsidRDefault="00147953" w:rsidP="0084548E">
            <w:pPr>
              <w:tabs>
                <w:tab w:val="left" w:pos="284"/>
              </w:tabs>
              <w:jc w:val="both"/>
              <w:rPr>
                <w:iCs/>
              </w:rPr>
            </w:pPr>
          </w:p>
        </w:tc>
        <w:tc>
          <w:tcPr>
            <w:tcW w:w="1688" w:type="dxa"/>
            <w:shd w:val="clear" w:color="auto" w:fill="auto"/>
          </w:tcPr>
          <w:p w:rsidR="00147953" w:rsidRPr="002461C9" w:rsidRDefault="00147953" w:rsidP="0084548E">
            <w:pPr>
              <w:tabs>
                <w:tab w:val="left" w:pos="284"/>
              </w:tabs>
              <w:jc w:val="center"/>
              <w:rPr>
                <w:iCs/>
              </w:rPr>
            </w:pPr>
            <w:r w:rsidRPr="002461C9">
              <w:rPr>
                <w:iCs/>
              </w:rPr>
              <w:t>звітний</w:t>
            </w:r>
          </w:p>
        </w:tc>
        <w:tc>
          <w:tcPr>
            <w:tcW w:w="1533" w:type="dxa"/>
            <w:shd w:val="clear" w:color="auto" w:fill="auto"/>
          </w:tcPr>
          <w:p w:rsidR="00147953" w:rsidRPr="002461C9" w:rsidRDefault="00147953" w:rsidP="0084548E">
            <w:pPr>
              <w:tabs>
                <w:tab w:val="left" w:pos="284"/>
              </w:tabs>
              <w:jc w:val="center"/>
              <w:rPr>
                <w:iCs/>
              </w:rPr>
            </w:pPr>
            <w:r w:rsidRPr="002461C9">
              <w:rPr>
                <w:iCs/>
              </w:rPr>
              <w:t>попередній</w:t>
            </w:r>
          </w:p>
        </w:tc>
      </w:tr>
      <w:tr w:rsidR="00147953" w:rsidRPr="002461C9" w:rsidTr="0084548E">
        <w:tc>
          <w:tcPr>
            <w:tcW w:w="6582" w:type="dxa"/>
            <w:shd w:val="clear" w:color="auto" w:fill="auto"/>
          </w:tcPr>
          <w:p w:rsidR="00147953" w:rsidRPr="002461C9" w:rsidRDefault="00147953" w:rsidP="0084548E">
            <w:pPr>
              <w:tabs>
                <w:tab w:val="left" w:pos="284"/>
              </w:tabs>
              <w:jc w:val="both"/>
              <w:rPr>
                <w:iCs/>
              </w:rPr>
            </w:pPr>
            <w:r w:rsidRPr="002461C9">
              <w:rPr>
                <w:iCs/>
              </w:rPr>
              <w:t>Усього активів</w:t>
            </w:r>
          </w:p>
        </w:tc>
        <w:tc>
          <w:tcPr>
            <w:tcW w:w="1688" w:type="dxa"/>
            <w:shd w:val="clear" w:color="auto" w:fill="auto"/>
          </w:tcPr>
          <w:p w:rsidR="00147953" w:rsidRPr="002461C9" w:rsidRDefault="00147953" w:rsidP="0084548E">
            <w:pPr>
              <w:jc w:val="center"/>
            </w:pPr>
            <w:r w:rsidRPr="002461C9">
              <w:t>616440</w:t>
            </w:r>
          </w:p>
        </w:tc>
        <w:tc>
          <w:tcPr>
            <w:tcW w:w="1533" w:type="dxa"/>
            <w:shd w:val="clear" w:color="auto" w:fill="auto"/>
          </w:tcPr>
          <w:p w:rsidR="00147953" w:rsidRPr="002461C9" w:rsidRDefault="00147953" w:rsidP="0084548E">
            <w:pPr>
              <w:jc w:val="center"/>
            </w:pPr>
            <w:r w:rsidRPr="002461C9">
              <w:t>541284</w:t>
            </w:r>
          </w:p>
        </w:tc>
      </w:tr>
      <w:tr w:rsidR="00147953" w:rsidRPr="002461C9" w:rsidTr="0084548E">
        <w:tc>
          <w:tcPr>
            <w:tcW w:w="6582" w:type="dxa"/>
            <w:shd w:val="clear" w:color="auto" w:fill="auto"/>
          </w:tcPr>
          <w:p w:rsidR="00147953" w:rsidRPr="002461C9" w:rsidRDefault="00147953" w:rsidP="0084548E">
            <w:pPr>
              <w:tabs>
                <w:tab w:val="left" w:pos="284"/>
              </w:tabs>
              <w:jc w:val="both"/>
              <w:rPr>
                <w:iCs/>
              </w:rPr>
            </w:pPr>
            <w:r w:rsidRPr="002461C9">
              <w:rPr>
                <w:iCs/>
              </w:rPr>
              <w:t>Основні засоби (за залишковою вартістю)</w:t>
            </w:r>
          </w:p>
        </w:tc>
        <w:tc>
          <w:tcPr>
            <w:tcW w:w="1688" w:type="dxa"/>
            <w:shd w:val="clear" w:color="auto" w:fill="auto"/>
          </w:tcPr>
          <w:p w:rsidR="00147953" w:rsidRPr="002461C9" w:rsidRDefault="00147953" w:rsidP="0084548E">
            <w:pPr>
              <w:jc w:val="center"/>
            </w:pPr>
            <w:r w:rsidRPr="002461C9">
              <w:t>29352</w:t>
            </w:r>
          </w:p>
        </w:tc>
        <w:tc>
          <w:tcPr>
            <w:tcW w:w="1533" w:type="dxa"/>
            <w:shd w:val="clear" w:color="auto" w:fill="auto"/>
          </w:tcPr>
          <w:p w:rsidR="00147953" w:rsidRPr="002461C9" w:rsidRDefault="00147953" w:rsidP="0084548E">
            <w:pPr>
              <w:jc w:val="center"/>
            </w:pPr>
            <w:r w:rsidRPr="002461C9">
              <w:t>34081</w:t>
            </w:r>
          </w:p>
        </w:tc>
      </w:tr>
      <w:tr w:rsidR="00147953" w:rsidRPr="002461C9" w:rsidTr="0084548E">
        <w:tc>
          <w:tcPr>
            <w:tcW w:w="6582" w:type="dxa"/>
            <w:shd w:val="clear" w:color="auto" w:fill="auto"/>
          </w:tcPr>
          <w:p w:rsidR="00147953" w:rsidRPr="002461C9" w:rsidRDefault="00147953" w:rsidP="0084548E">
            <w:pPr>
              <w:tabs>
                <w:tab w:val="left" w:pos="284"/>
              </w:tabs>
              <w:jc w:val="both"/>
              <w:rPr>
                <w:iCs/>
              </w:rPr>
            </w:pPr>
            <w:r w:rsidRPr="002461C9">
              <w:rPr>
                <w:iCs/>
              </w:rPr>
              <w:t>Запаси</w:t>
            </w:r>
            <w:r w:rsidRPr="002461C9">
              <w:rPr>
                <w:iCs/>
              </w:rPr>
              <w:tab/>
            </w:r>
          </w:p>
        </w:tc>
        <w:tc>
          <w:tcPr>
            <w:tcW w:w="1688" w:type="dxa"/>
            <w:shd w:val="clear" w:color="auto" w:fill="auto"/>
          </w:tcPr>
          <w:p w:rsidR="00147953" w:rsidRPr="002461C9" w:rsidRDefault="00147953" w:rsidP="0084548E">
            <w:pPr>
              <w:jc w:val="center"/>
            </w:pPr>
            <w:r w:rsidRPr="002461C9">
              <w:t>59069</w:t>
            </w:r>
          </w:p>
        </w:tc>
        <w:tc>
          <w:tcPr>
            <w:tcW w:w="1533" w:type="dxa"/>
            <w:shd w:val="clear" w:color="auto" w:fill="auto"/>
          </w:tcPr>
          <w:p w:rsidR="00147953" w:rsidRPr="002461C9" w:rsidRDefault="00147953" w:rsidP="0084548E">
            <w:pPr>
              <w:jc w:val="center"/>
            </w:pPr>
            <w:r w:rsidRPr="002461C9">
              <w:t>48144</w:t>
            </w:r>
          </w:p>
        </w:tc>
      </w:tr>
      <w:tr w:rsidR="00147953" w:rsidRPr="002461C9" w:rsidTr="0084548E">
        <w:tc>
          <w:tcPr>
            <w:tcW w:w="6582" w:type="dxa"/>
            <w:shd w:val="clear" w:color="auto" w:fill="auto"/>
          </w:tcPr>
          <w:p w:rsidR="00147953" w:rsidRPr="002461C9" w:rsidRDefault="00147953" w:rsidP="0084548E">
            <w:pPr>
              <w:tabs>
                <w:tab w:val="left" w:pos="284"/>
              </w:tabs>
              <w:jc w:val="both"/>
              <w:rPr>
                <w:iCs/>
              </w:rPr>
            </w:pPr>
            <w:r w:rsidRPr="002461C9">
              <w:rPr>
                <w:iCs/>
              </w:rPr>
              <w:t>Сумарна дебіторська заборгованість</w:t>
            </w:r>
          </w:p>
        </w:tc>
        <w:tc>
          <w:tcPr>
            <w:tcW w:w="1688" w:type="dxa"/>
            <w:shd w:val="clear" w:color="auto" w:fill="auto"/>
          </w:tcPr>
          <w:p w:rsidR="00147953" w:rsidRPr="002461C9" w:rsidRDefault="00147953" w:rsidP="0084548E">
            <w:pPr>
              <w:jc w:val="center"/>
            </w:pPr>
            <w:r w:rsidRPr="002461C9">
              <w:t>8382</w:t>
            </w:r>
          </w:p>
        </w:tc>
        <w:tc>
          <w:tcPr>
            <w:tcW w:w="1533" w:type="dxa"/>
            <w:shd w:val="clear" w:color="auto" w:fill="auto"/>
          </w:tcPr>
          <w:p w:rsidR="00147953" w:rsidRPr="002461C9" w:rsidRDefault="00147953" w:rsidP="0084548E">
            <w:pPr>
              <w:jc w:val="center"/>
            </w:pPr>
            <w:r w:rsidRPr="002461C9">
              <w:t>17284</w:t>
            </w:r>
          </w:p>
        </w:tc>
      </w:tr>
      <w:tr w:rsidR="00147953" w:rsidRPr="002461C9" w:rsidTr="0084548E">
        <w:tc>
          <w:tcPr>
            <w:tcW w:w="6582" w:type="dxa"/>
            <w:shd w:val="clear" w:color="auto" w:fill="auto"/>
          </w:tcPr>
          <w:p w:rsidR="00147953" w:rsidRPr="002461C9" w:rsidRDefault="00147953" w:rsidP="0084548E">
            <w:pPr>
              <w:tabs>
                <w:tab w:val="left" w:pos="284"/>
              </w:tabs>
              <w:jc w:val="both"/>
              <w:rPr>
                <w:iCs/>
              </w:rPr>
            </w:pPr>
            <w:r w:rsidRPr="002461C9">
              <w:rPr>
                <w:iCs/>
              </w:rPr>
              <w:t>Гроші та їх еквіваленти</w:t>
            </w:r>
          </w:p>
        </w:tc>
        <w:tc>
          <w:tcPr>
            <w:tcW w:w="1688" w:type="dxa"/>
            <w:shd w:val="clear" w:color="auto" w:fill="auto"/>
          </w:tcPr>
          <w:p w:rsidR="00147953" w:rsidRPr="002461C9" w:rsidRDefault="00147953" w:rsidP="0084548E">
            <w:pPr>
              <w:jc w:val="center"/>
            </w:pPr>
            <w:r w:rsidRPr="002461C9">
              <w:t>506465</w:t>
            </w:r>
          </w:p>
        </w:tc>
        <w:tc>
          <w:tcPr>
            <w:tcW w:w="1533" w:type="dxa"/>
            <w:shd w:val="clear" w:color="auto" w:fill="auto"/>
          </w:tcPr>
          <w:p w:rsidR="00147953" w:rsidRPr="002461C9" w:rsidRDefault="00147953" w:rsidP="0084548E">
            <w:pPr>
              <w:jc w:val="center"/>
            </w:pPr>
            <w:r w:rsidRPr="002461C9">
              <w:t>431694</w:t>
            </w:r>
          </w:p>
        </w:tc>
      </w:tr>
      <w:tr w:rsidR="00147953" w:rsidRPr="002461C9" w:rsidTr="0084548E">
        <w:tc>
          <w:tcPr>
            <w:tcW w:w="6582" w:type="dxa"/>
            <w:shd w:val="clear" w:color="auto" w:fill="auto"/>
          </w:tcPr>
          <w:p w:rsidR="00147953" w:rsidRPr="002461C9" w:rsidRDefault="00147953" w:rsidP="0084548E">
            <w:pPr>
              <w:tabs>
                <w:tab w:val="left" w:pos="284"/>
              </w:tabs>
              <w:jc w:val="both"/>
              <w:rPr>
                <w:iCs/>
              </w:rPr>
            </w:pPr>
            <w:r w:rsidRPr="002461C9">
              <w:rPr>
                <w:iCs/>
              </w:rPr>
              <w:t>Нерозподілений прибуток (непокритий збиток)</w:t>
            </w:r>
            <w:r w:rsidRPr="002461C9">
              <w:rPr>
                <w:iCs/>
              </w:rPr>
              <w:tab/>
            </w:r>
          </w:p>
        </w:tc>
        <w:tc>
          <w:tcPr>
            <w:tcW w:w="1688" w:type="dxa"/>
            <w:shd w:val="clear" w:color="auto" w:fill="auto"/>
          </w:tcPr>
          <w:p w:rsidR="00147953" w:rsidRPr="002461C9" w:rsidRDefault="00147953" w:rsidP="0084548E">
            <w:pPr>
              <w:jc w:val="center"/>
            </w:pPr>
            <w:r w:rsidRPr="002461C9">
              <w:t>20058</w:t>
            </w:r>
          </w:p>
        </w:tc>
        <w:tc>
          <w:tcPr>
            <w:tcW w:w="1533" w:type="dxa"/>
            <w:shd w:val="clear" w:color="auto" w:fill="auto"/>
          </w:tcPr>
          <w:p w:rsidR="00147953" w:rsidRPr="002461C9" w:rsidRDefault="00147953" w:rsidP="0084548E">
            <w:pPr>
              <w:jc w:val="center"/>
            </w:pPr>
            <w:r w:rsidRPr="002461C9">
              <w:t>12650</w:t>
            </w:r>
          </w:p>
        </w:tc>
      </w:tr>
      <w:tr w:rsidR="00147953" w:rsidRPr="002461C9" w:rsidTr="0084548E">
        <w:tc>
          <w:tcPr>
            <w:tcW w:w="6582" w:type="dxa"/>
            <w:shd w:val="clear" w:color="auto" w:fill="auto"/>
          </w:tcPr>
          <w:p w:rsidR="00147953" w:rsidRPr="002461C9" w:rsidRDefault="00147953" w:rsidP="0084548E">
            <w:pPr>
              <w:tabs>
                <w:tab w:val="left" w:pos="284"/>
              </w:tabs>
              <w:jc w:val="both"/>
              <w:rPr>
                <w:iCs/>
              </w:rPr>
            </w:pPr>
            <w:r w:rsidRPr="002461C9">
              <w:rPr>
                <w:iCs/>
              </w:rPr>
              <w:t>Власний капітал</w:t>
            </w:r>
          </w:p>
        </w:tc>
        <w:tc>
          <w:tcPr>
            <w:tcW w:w="1688" w:type="dxa"/>
            <w:shd w:val="clear" w:color="auto" w:fill="auto"/>
          </w:tcPr>
          <w:p w:rsidR="00147953" w:rsidRPr="002461C9" w:rsidRDefault="00147953" w:rsidP="0084548E">
            <w:pPr>
              <w:jc w:val="center"/>
            </w:pPr>
            <w:r w:rsidRPr="002461C9">
              <w:t>549138</w:t>
            </w:r>
          </w:p>
        </w:tc>
        <w:tc>
          <w:tcPr>
            <w:tcW w:w="1533" w:type="dxa"/>
            <w:shd w:val="clear" w:color="auto" w:fill="auto"/>
          </w:tcPr>
          <w:p w:rsidR="00147953" w:rsidRPr="002461C9" w:rsidRDefault="00147953" w:rsidP="0084548E">
            <w:pPr>
              <w:jc w:val="center"/>
            </w:pPr>
            <w:r w:rsidRPr="002461C9">
              <w:t>448713</w:t>
            </w:r>
          </w:p>
        </w:tc>
      </w:tr>
      <w:tr w:rsidR="00147953" w:rsidRPr="002461C9" w:rsidTr="0084548E">
        <w:tc>
          <w:tcPr>
            <w:tcW w:w="6582" w:type="dxa"/>
            <w:shd w:val="clear" w:color="auto" w:fill="auto"/>
          </w:tcPr>
          <w:p w:rsidR="00147953" w:rsidRPr="002461C9" w:rsidRDefault="00147953" w:rsidP="0084548E">
            <w:pPr>
              <w:tabs>
                <w:tab w:val="left" w:pos="284"/>
              </w:tabs>
              <w:jc w:val="both"/>
              <w:rPr>
                <w:iCs/>
              </w:rPr>
            </w:pPr>
            <w:r w:rsidRPr="002461C9">
              <w:rPr>
                <w:iCs/>
              </w:rPr>
              <w:t>Зареєстрований (пайовий/статутний) капітал</w:t>
            </w:r>
          </w:p>
        </w:tc>
        <w:tc>
          <w:tcPr>
            <w:tcW w:w="1688" w:type="dxa"/>
            <w:shd w:val="clear" w:color="auto" w:fill="auto"/>
          </w:tcPr>
          <w:p w:rsidR="00147953" w:rsidRPr="002461C9" w:rsidRDefault="00147953" w:rsidP="0084548E">
            <w:pPr>
              <w:jc w:val="center"/>
            </w:pPr>
            <w:r w:rsidRPr="002461C9">
              <w:t>2936</w:t>
            </w:r>
          </w:p>
        </w:tc>
        <w:tc>
          <w:tcPr>
            <w:tcW w:w="1533" w:type="dxa"/>
            <w:shd w:val="clear" w:color="auto" w:fill="auto"/>
          </w:tcPr>
          <w:p w:rsidR="00147953" w:rsidRPr="002461C9" w:rsidRDefault="00147953" w:rsidP="0084548E">
            <w:pPr>
              <w:jc w:val="center"/>
            </w:pPr>
            <w:r w:rsidRPr="002461C9">
              <w:t>2936</w:t>
            </w:r>
          </w:p>
        </w:tc>
      </w:tr>
      <w:tr w:rsidR="00147953" w:rsidRPr="002461C9" w:rsidTr="0084548E">
        <w:tc>
          <w:tcPr>
            <w:tcW w:w="6582" w:type="dxa"/>
            <w:shd w:val="clear" w:color="auto" w:fill="auto"/>
          </w:tcPr>
          <w:p w:rsidR="00147953" w:rsidRPr="002461C9" w:rsidRDefault="00147953" w:rsidP="0084548E">
            <w:pPr>
              <w:tabs>
                <w:tab w:val="left" w:pos="284"/>
              </w:tabs>
              <w:jc w:val="both"/>
              <w:rPr>
                <w:iCs/>
              </w:rPr>
            </w:pPr>
            <w:r w:rsidRPr="002461C9">
              <w:rPr>
                <w:iCs/>
              </w:rPr>
              <w:t>Довгострокові зобов'язання і забезпечення</w:t>
            </w:r>
          </w:p>
        </w:tc>
        <w:tc>
          <w:tcPr>
            <w:tcW w:w="1688" w:type="dxa"/>
            <w:shd w:val="clear" w:color="auto" w:fill="auto"/>
          </w:tcPr>
          <w:p w:rsidR="00147953" w:rsidRPr="002461C9" w:rsidRDefault="00147953" w:rsidP="0084548E">
            <w:pPr>
              <w:jc w:val="center"/>
            </w:pPr>
            <w:r w:rsidRPr="002461C9">
              <w:t>0</w:t>
            </w:r>
          </w:p>
        </w:tc>
        <w:tc>
          <w:tcPr>
            <w:tcW w:w="1533" w:type="dxa"/>
            <w:shd w:val="clear" w:color="auto" w:fill="auto"/>
          </w:tcPr>
          <w:p w:rsidR="00147953" w:rsidRPr="002461C9" w:rsidRDefault="00147953" w:rsidP="0084548E">
            <w:pPr>
              <w:jc w:val="center"/>
            </w:pPr>
            <w:r w:rsidRPr="002461C9">
              <w:t>0</w:t>
            </w:r>
          </w:p>
        </w:tc>
      </w:tr>
      <w:tr w:rsidR="00147953" w:rsidRPr="002461C9" w:rsidTr="0084548E">
        <w:tc>
          <w:tcPr>
            <w:tcW w:w="6582" w:type="dxa"/>
            <w:shd w:val="clear" w:color="auto" w:fill="auto"/>
          </w:tcPr>
          <w:p w:rsidR="00147953" w:rsidRPr="002461C9" w:rsidRDefault="00147953" w:rsidP="0084548E">
            <w:pPr>
              <w:tabs>
                <w:tab w:val="left" w:pos="284"/>
              </w:tabs>
              <w:jc w:val="both"/>
              <w:rPr>
                <w:iCs/>
              </w:rPr>
            </w:pPr>
            <w:r w:rsidRPr="002461C9">
              <w:rPr>
                <w:iCs/>
              </w:rPr>
              <w:t>Поточні зобов'язання і забезпечення</w:t>
            </w:r>
          </w:p>
        </w:tc>
        <w:tc>
          <w:tcPr>
            <w:tcW w:w="1688" w:type="dxa"/>
            <w:shd w:val="clear" w:color="auto" w:fill="auto"/>
          </w:tcPr>
          <w:p w:rsidR="00147953" w:rsidRPr="002461C9" w:rsidRDefault="00147953" w:rsidP="0084548E">
            <w:pPr>
              <w:jc w:val="center"/>
            </w:pPr>
            <w:r w:rsidRPr="002461C9">
              <w:t>67302</w:t>
            </w:r>
          </w:p>
        </w:tc>
        <w:tc>
          <w:tcPr>
            <w:tcW w:w="1533" w:type="dxa"/>
            <w:shd w:val="clear" w:color="auto" w:fill="auto"/>
          </w:tcPr>
          <w:p w:rsidR="00147953" w:rsidRPr="002461C9" w:rsidRDefault="00147953" w:rsidP="0084548E">
            <w:pPr>
              <w:jc w:val="center"/>
            </w:pPr>
            <w:r w:rsidRPr="002461C9">
              <w:t>92571</w:t>
            </w:r>
          </w:p>
        </w:tc>
      </w:tr>
      <w:tr w:rsidR="00147953" w:rsidRPr="002461C9" w:rsidTr="0084548E">
        <w:tc>
          <w:tcPr>
            <w:tcW w:w="6582" w:type="dxa"/>
            <w:shd w:val="clear" w:color="auto" w:fill="auto"/>
          </w:tcPr>
          <w:p w:rsidR="00147953" w:rsidRPr="002461C9" w:rsidRDefault="00147953" w:rsidP="0084548E">
            <w:pPr>
              <w:tabs>
                <w:tab w:val="left" w:pos="284"/>
              </w:tabs>
              <w:jc w:val="both"/>
              <w:rPr>
                <w:iCs/>
              </w:rPr>
            </w:pPr>
            <w:r w:rsidRPr="002461C9">
              <w:rPr>
                <w:iCs/>
              </w:rPr>
              <w:t>Чистий фінансовий результат: прибуток (збиток)</w:t>
            </w:r>
          </w:p>
        </w:tc>
        <w:tc>
          <w:tcPr>
            <w:tcW w:w="1688" w:type="dxa"/>
            <w:shd w:val="clear" w:color="auto" w:fill="auto"/>
          </w:tcPr>
          <w:p w:rsidR="00147953" w:rsidRPr="002461C9" w:rsidRDefault="00147953" w:rsidP="0084548E">
            <w:pPr>
              <w:jc w:val="center"/>
            </w:pPr>
            <w:r w:rsidRPr="002461C9">
              <w:t>109820</w:t>
            </w:r>
          </w:p>
        </w:tc>
        <w:tc>
          <w:tcPr>
            <w:tcW w:w="1533" w:type="dxa"/>
            <w:shd w:val="clear" w:color="auto" w:fill="auto"/>
          </w:tcPr>
          <w:p w:rsidR="00147953" w:rsidRPr="002461C9" w:rsidRDefault="00147953" w:rsidP="0084548E">
            <w:pPr>
              <w:jc w:val="center"/>
            </w:pPr>
            <w:r w:rsidRPr="002461C9">
              <w:t>47328</w:t>
            </w:r>
          </w:p>
        </w:tc>
      </w:tr>
      <w:tr w:rsidR="00147953" w:rsidRPr="002461C9" w:rsidTr="0084548E">
        <w:tc>
          <w:tcPr>
            <w:tcW w:w="6582" w:type="dxa"/>
            <w:shd w:val="clear" w:color="auto" w:fill="auto"/>
          </w:tcPr>
          <w:p w:rsidR="00147953" w:rsidRPr="002461C9" w:rsidRDefault="00147953" w:rsidP="0084548E">
            <w:pPr>
              <w:tabs>
                <w:tab w:val="left" w:pos="284"/>
              </w:tabs>
              <w:jc w:val="both"/>
              <w:rPr>
                <w:iCs/>
              </w:rPr>
            </w:pPr>
            <w:r w:rsidRPr="002461C9">
              <w:rPr>
                <w:iCs/>
              </w:rPr>
              <w:t>Середньорічна кількість акцій (шт.)</w:t>
            </w:r>
          </w:p>
        </w:tc>
        <w:tc>
          <w:tcPr>
            <w:tcW w:w="1688" w:type="dxa"/>
            <w:shd w:val="clear" w:color="auto" w:fill="auto"/>
          </w:tcPr>
          <w:p w:rsidR="00147953" w:rsidRPr="002461C9" w:rsidRDefault="00147953" w:rsidP="0084548E">
            <w:pPr>
              <w:jc w:val="center"/>
            </w:pPr>
            <w:r w:rsidRPr="002461C9">
              <w:t>11743683</w:t>
            </w:r>
          </w:p>
        </w:tc>
        <w:tc>
          <w:tcPr>
            <w:tcW w:w="1533" w:type="dxa"/>
            <w:shd w:val="clear" w:color="auto" w:fill="auto"/>
          </w:tcPr>
          <w:p w:rsidR="00147953" w:rsidRPr="002461C9" w:rsidRDefault="00147953" w:rsidP="0084548E">
            <w:pPr>
              <w:jc w:val="center"/>
            </w:pPr>
            <w:r w:rsidRPr="002461C9">
              <w:t>11743683</w:t>
            </w:r>
          </w:p>
        </w:tc>
      </w:tr>
      <w:tr w:rsidR="00147953" w:rsidRPr="002461C9" w:rsidTr="0084548E">
        <w:tc>
          <w:tcPr>
            <w:tcW w:w="6582" w:type="dxa"/>
            <w:shd w:val="clear" w:color="auto" w:fill="auto"/>
          </w:tcPr>
          <w:p w:rsidR="00147953" w:rsidRPr="002461C9" w:rsidRDefault="00147953" w:rsidP="0084548E">
            <w:pPr>
              <w:tabs>
                <w:tab w:val="left" w:pos="284"/>
              </w:tabs>
              <w:jc w:val="both"/>
              <w:rPr>
                <w:iCs/>
              </w:rPr>
            </w:pPr>
            <w:r w:rsidRPr="002461C9">
              <w:rPr>
                <w:iCs/>
              </w:rPr>
              <w:t>Чистий прибуток (збиток) на одну просту акцію (грн)</w:t>
            </w:r>
          </w:p>
        </w:tc>
        <w:tc>
          <w:tcPr>
            <w:tcW w:w="1688" w:type="dxa"/>
            <w:shd w:val="clear" w:color="auto" w:fill="auto"/>
          </w:tcPr>
          <w:p w:rsidR="00147953" w:rsidRPr="002461C9" w:rsidRDefault="00147953" w:rsidP="0084548E">
            <w:pPr>
              <w:jc w:val="center"/>
            </w:pPr>
            <w:r w:rsidRPr="002461C9">
              <w:t>9,35141</w:t>
            </w:r>
          </w:p>
        </w:tc>
        <w:tc>
          <w:tcPr>
            <w:tcW w:w="1533" w:type="dxa"/>
            <w:shd w:val="clear" w:color="auto" w:fill="auto"/>
          </w:tcPr>
          <w:p w:rsidR="00147953" w:rsidRPr="002461C9" w:rsidRDefault="00147953" w:rsidP="0084548E">
            <w:pPr>
              <w:jc w:val="center"/>
            </w:pPr>
            <w:r w:rsidRPr="002461C9">
              <w:t>4,03008</w:t>
            </w:r>
          </w:p>
        </w:tc>
      </w:tr>
    </w:tbl>
    <w:p w:rsidR="00147953" w:rsidRPr="002461C9" w:rsidRDefault="00147953" w:rsidP="00147953">
      <w:pPr>
        <w:tabs>
          <w:tab w:val="left" w:pos="284"/>
        </w:tabs>
        <w:ind w:firstLine="480"/>
        <w:jc w:val="both"/>
        <w:rPr>
          <w:iCs/>
        </w:rPr>
      </w:pPr>
    </w:p>
    <w:p w:rsidR="00147953" w:rsidRPr="002461C9" w:rsidRDefault="00147953" w:rsidP="00147953">
      <w:pPr>
        <w:ind w:firstLine="567"/>
        <w:jc w:val="both"/>
      </w:pPr>
      <w:r w:rsidRPr="002461C9">
        <w:t>Наявність взаємозв’язку між питаннями, включеними до порядку денного загальних зборів, означає неможливість підрахунку голосів та прийняття рішення з одного питання порядку денного у разі неприйняття рішення з попереднього питання порядку денного.</w:t>
      </w:r>
    </w:p>
    <w:p w:rsidR="00147953" w:rsidRPr="002461C9" w:rsidRDefault="00147953" w:rsidP="00147953">
      <w:pPr>
        <w:ind w:firstLine="567"/>
        <w:jc w:val="both"/>
      </w:pPr>
      <w:r w:rsidRPr="002461C9">
        <w:t>Адреса сторінки на власному веб-сайті товариства  https://mehzavod.com.ua, на якій розміщені повідомлення про проведення загальних зборів, інформація про загальну кількість акцій та кількість голосуючих акцій, перелік документів, що має надати акціонер (представник акціонера) для його участі у загальних зборах – https://mehzavod.com.ua/ua/aktsioneram.</w:t>
      </w:r>
    </w:p>
    <w:p w:rsidR="00147953" w:rsidRPr="002461C9" w:rsidRDefault="00147953" w:rsidP="00147953">
      <w:pPr>
        <w:ind w:firstLine="567"/>
        <w:jc w:val="both"/>
      </w:pPr>
      <w:r w:rsidRPr="002461C9">
        <w:t>Адреса електронної пошти товариства,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проєкту порядку денного загальних зборів та/або проєктів рішень – office@mehzavod.com.ua.</w:t>
      </w:r>
    </w:p>
    <w:p w:rsidR="00147953" w:rsidRPr="002461C9" w:rsidRDefault="00147953" w:rsidP="00147953">
      <w:pPr>
        <w:ind w:firstLine="567"/>
        <w:jc w:val="both"/>
      </w:pPr>
      <w:r w:rsidRPr="002461C9">
        <w:t xml:space="preserve">Особа відповідальна за ознайомлення акціонерів з документами - </w:t>
      </w:r>
      <w:r w:rsidRPr="002461C9">
        <w:rPr>
          <w:iCs/>
        </w:rPr>
        <w:t>Голова правління Міщенко Михайло Іванович</w:t>
      </w:r>
      <w:r w:rsidRPr="002461C9">
        <w:t>, телефон (05362) 32-2-04.</w:t>
      </w:r>
    </w:p>
    <w:p w:rsidR="00147953" w:rsidRPr="002461C9" w:rsidRDefault="00147953" w:rsidP="00147953">
      <w:pPr>
        <w:ind w:firstLine="567"/>
        <w:jc w:val="both"/>
      </w:pPr>
      <w:r w:rsidRPr="002461C9">
        <w:t xml:space="preserve">Від дати надсилання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включених до проєкту порядку денного та порядку денного, у робочі дні з 11:00 до 16:00 за адресою: </w:t>
      </w:r>
      <w:r w:rsidRPr="002461C9">
        <w:rPr>
          <w:iCs/>
        </w:rPr>
        <w:t>м. Хорол, вул. Небесної сотні, 106</w:t>
      </w:r>
      <w:r w:rsidRPr="002461C9">
        <w:t xml:space="preserve">. Крім того, товариство на запит акціонера безкоштовно надає такі документи в формі електронних документів (копій документів). Також товариство до дати проведення загальних зборів надає відповіді на запитання акціонерів щодо питань, включених до проєкту порядку денного загальних зборів та порядку денного загальних зборів. Запит щодо ознайомлення з документами, необхідними для прийняття рішень з питань, включених до проєкту порядку денного та порядку денного, та/або запитання щодо порядку денного загальних зборів,   а також у випадку внесення пропозицій щодо питань, включених до проєкту порядку денного та щодо нових кандидатів до складу наглядової ради, повинен містити ім'я (найменування) акціонера, який звертається, кількість  належних йому акцій, зміст запитання чи пропозиції, та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Pr="00147953">
        <w:rPr>
          <w:rStyle w:val="a4"/>
          <w:color w:val="auto"/>
          <w:u w:val="none"/>
        </w:rPr>
        <w:t>товариства</w:t>
      </w:r>
      <w:r w:rsidRPr="00147953">
        <w:t>.</w:t>
      </w:r>
      <w:r w:rsidRPr="002461C9">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або відповідь на запитання на адресу електронної пошти акціонера, з якої направлено запит із засвідченням документів кваліфікованим електронним підписом. Товариство може надати одну загальну відповідь на всі запитання однакового змісту.</w:t>
      </w:r>
    </w:p>
    <w:p w:rsidR="00147953" w:rsidRPr="002461C9" w:rsidRDefault="00147953" w:rsidP="00147953">
      <w:pPr>
        <w:ind w:firstLine="567"/>
        <w:jc w:val="both"/>
      </w:pPr>
      <w:r w:rsidRPr="002461C9">
        <w:t>Кожний акціонер має право внести пропозиції щодо питань, включених до проєкту порядку денного загальних зборів, а також щодо нових кандидатів до складу наглядової ради, кількість яких не може перевищувати її кількісного складу. Пропозиції вносяться не пізніше ніж за 20 днів до дати проведення загальних зборів, а щодо кандидатів до складу наглядової ради - не пізніше ніж за 7 днів до дати проведення загальних зборів. Пропозиції до проєкту порядку денного загальних зборів вносяться лише шляхом</w:t>
      </w:r>
      <w:r w:rsidRPr="002461C9">
        <w:rPr>
          <w:spacing w:val="1"/>
        </w:rPr>
        <w:t xml:space="preserve"> </w:t>
      </w:r>
      <w:r w:rsidRPr="002461C9">
        <w:t>включення</w:t>
      </w:r>
      <w:r w:rsidRPr="002461C9">
        <w:rPr>
          <w:spacing w:val="-6"/>
        </w:rPr>
        <w:t xml:space="preserve"> </w:t>
      </w:r>
      <w:r w:rsidRPr="002461C9">
        <w:t>нових</w:t>
      </w:r>
      <w:r w:rsidRPr="002461C9">
        <w:rPr>
          <w:spacing w:val="-10"/>
        </w:rPr>
        <w:t xml:space="preserve"> </w:t>
      </w:r>
      <w:r w:rsidRPr="002461C9">
        <w:t>питань</w:t>
      </w:r>
      <w:r w:rsidRPr="002461C9">
        <w:rPr>
          <w:spacing w:val="-5"/>
        </w:rPr>
        <w:t xml:space="preserve"> </w:t>
      </w:r>
      <w:r w:rsidRPr="002461C9">
        <w:t>та</w:t>
      </w:r>
      <w:r w:rsidRPr="002461C9">
        <w:rPr>
          <w:spacing w:val="-7"/>
        </w:rPr>
        <w:t xml:space="preserve"> </w:t>
      </w:r>
      <w:r w:rsidRPr="002461C9">
        <w:t>проєктів</w:t>
      </w:r>
      <w:r w:rsidRPr="002461C9">
        <w:rPr>
          <w:spacing w:val="-8"/>
        </w:rPr>
        <w:t xml:space="preserve"> </w:t>
      </w:r>
      <w:r w:rsidRPr="002461C9">
        <w:t>рішень</w:t>
      </w:r>
      <w:r w:rsidRPr="002461C9">
        <w:rPr>
          <w:spacing w:val="-7"/>
        </w:rPr>
        <w:t xml:space="preserve"> </w:t>
      </w:r>
      <w:r w:rsidRPr="002461C9">
        <w:t>із</w:t>
      </w:r>
      <w:r w:rsidRPr="002461C9">
        <w:rPr>
          <w:spacing w:val="-7"/>
        </w:rPr>
        <w:t xml:space="preserve"> </w:t>
      </w:r>
      <w:r w:rsidRPr="002461C9">
        <w:t>запропонованих</w:t>
      </w:r>
      <w:r w:rsidRPr="002461C9">
        <w:rPr>
          <w:spacing w:val="-10"/>
        </w:rPr>
        <w:t xml:space="preserve"> </w:t>
      </w:r>
      <w:r w:rsidRPr="002461C9">
        <w:t xml:space="preserve">питань. Пропозиції щодо кандидатів у члени наглядової ради товариства мають </w:t>
      </w:r>
      <w:r w:rsidRPr="002461C9">
        <w:lastRenderedPageBreak/>
        <w:t xml:space="preserve">містити інформацію про те, чи є запропонований кандидат представником акціонера (акціонерів) а також щодо кількості акцій товариства, що належать кандидату. 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r w:rsidRPr="00147953">
        <w:rPr>
          <w:rStyle w:val="a4"/>
          <w:color w:val="auto"/>
          <w:u w:val="none"/>
        </w:rPr>
        <w:t>товариства</w:t>
      </w:r>
      <w:r w:rsidRPr="002461C9">
        <w:t>.</w:t>
      </w:r>
    </w:p>
    <w:p w:rsidR="00147953" w:rsidRPr="002461C9" w:rsidRDefault="00147953" w:rsidP="00147953">
      <w:pPr>
        <w:ind w:firstLine="567"/>
        <w:jc w:val="both"/>
      </w:pPr>
      <w:r w:rsidRPr="002461C9">
        <w:t>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Одна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147953" w:rsidRPr="002461C9" w:rsidRDefault="00147953" w:rsidP="00147953">
      <w:pPr>
        <w:ind w:firstLine="567"/>
        <w:jc w:val="both"/>
      </w:pPr>
      <w:r w:rsidRPr="002461C9">
        <w:t xml:space="preserve">Голосування на загальних зборах з питань порядку денного проводиться виключно з використанням бюлетенів для голосування – єдиного бюлетеня для голосування (щодо інших питань порядку денного, крім обрання органів товариства) та бюлетеня для кумулятивного голосування по питанню обрання членів наглядової ради. </w:t>
      </w:r>
    </w:p>
    <w:p w:rsidR="00147953" w:rsidRPr="002461C9" w:rsidRDefault="00147953" w:rsidP="00147953">
      <w:pPr>
        <w:shd w:val="clear" w:color="auto" w:fill="FFFFFF"/>
        <w:ind w:firstLine="450"/>
        <w:jc w:val="both"/>
      </w:pPr>
      <w:r w:rsidRPr="002461C9">
        <w:t>Бюлетені для голосування можуть подаватися як шляхом направлення бюлетенів на адресу електронної пошти депозитарної установи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так і шляхом подання бюлетенів в паперовій формі до депозитарної установи.</w:t>
      </w:r>
      <w:bookmarkStart w:id="0" w:name="n16"/>
      <w:bookmarkEnd w:id="0"/>
      <w:r w:rsidRPr="002461C9">
        <w:t xml:space="preserve"> 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або депозитарною установою, що обслуговує рахунок в цінних паперах такого акціонера, на якому обліковуються належні акціонеру акції товариства. 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rsidR="00147953" w:rsidRPr="002461C9" w:rsidRDefault="00147953" w:rsidP="00147953">
      <w:pPr>
        <w:ind w:firstLine="567"/>
        <w:jc w:val="both"/>
      </w:pPr>
      <w:r w:rsidRPr="002461C9">
        <w:t xml:space="preserve">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Представником акціонера на загальних зборах може бути фізична особа або уповноважена особа юридичної особи. </w:t>
      </w:r>
    </w:p>
    <w:p w:rsidR="00147953" w:rsidRPr="002461C9" w:rsidRDefault="00147953" w:rsidP="00147953">
      <w:pPr>
        <w:ind w:firstLine="567"/>
        <w:jc w:val="both"/>
      </w:pPr>
      <w:r w:rsidRPr="002461C9">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Повідомлення акціонером про заміну або відкликання свого представника може здійснюватися за допомогою засобів електронного зв'язку.</w:t>
      </w:r>
    </w:p>
    <w:p w:rsidR="00147953" w:rsidRPr="002461C9" w:rsidRDefault="00147953" w:rsidP="00147953">
      <w:pPr>
        <w:ind w:firstLine="709"/>
        <w:jc w:val="both"/>
      </w:pPr>
      <w:r w:rsidRPr="002461C9">
        <w:t>Бюлетені для голосування на загальних зборах приймаються виключно до 18:00 27.04.2023р.</w:t>
      </w:r>
    </w:p>
    <w:p w:rsidR="001429DA" w:rsidRDefault="00147953" w:rsidP="00147953">
      <w:pPr>
        <w:ind w:firstLine="708"/>
        <w:jc w:val="both"/>
      </w:pPr>
      <w:bookmarkStart w:id="1" w:name="_GoBack"/>
      <w:bookmarkEnd w:id="1"/>
      <w:r w:rsidRPr="002461C9">
        <w:lastRenderedPageBreak/>
        <w:t>Особам, яким депозитарною установою відкрито рахунок в цінних паперах на підставі договору з товариством, необхідно укласти договір з депозитарною установою для забезпечення реалізації права на участь у дистанційних загальних зборах акціонерів товариства.</w:t>
      </w:r>
    </w:p>
    <w:sectPr w:rsidR="001429DA" w:rsidSect="00E53F0F">
      <w:pgSz w:w="11906" w:h="16838"/>
      <w:pgMar w:top="567"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53"/>
    <w:rsid w:val="001429DA"/>
    <w:rsid w:val="00147953"/>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7285A-A343-4AFF-9B8D-AA1CF061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953"/>
    <w:rPr>
      <w:rFonts w:eastAsia="Times New Roman" w:cs="Times New Roman"/>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47953"/>
    <w:rPr>
      <w:b/>
      <w:bCs/>
    </w:rPr>
  </w:style>
  <w:style w:type="character" w:styleId="a4">
    <w:name w:val="Hyperlink"/>
    <w:basedOn w:val="a0"/>
    <w:uiPriority w:val="99"/>
    <w:unhideWhenUsed/>
    <w:rsid w:val="001479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1914</Words>
  <Characters>10915</Characters>
  <Application>Microsoft Office Word</Application>
  <DocSecurity>0</DocSecurity>
  <Lines>90</Lines>
  <Paragraphs>25</Paragraphs>
  <ScaleCrop>false</ScaleCrop>
  <Company/>
  <LinksUpToDate>false</LinksUpToDate>
  <CharactersWithSpaces>12804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2023-03-24T09:39:00Z</dcterms:created>
  <dcterms:modified xsi:type="dcterms:W3CDTF">2023-03-24T09:42:00Z</dcterms:modified>
</cp:coreProperties>
</file>