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C6" w:rsidRPr="006F5749" w:rsidRDefault="006D33C6" w:rsidP="006D33C6">
      <w:pPr>
        <w:tabs>
          <w:tab w:val="left" w:pos="284"/>
        </w:tabs>
        <w:jc w:val="center"/>
        <w:rPr>
          <w:b/>
          <w:iCs/>
        </w:rPr>
      </w:pPr>
      <w:r w:rsidRPr="006F5749">
        <w:rPr>
          <w:b/>
          <w:iCs/>
        </w:rPr>
        <w:t>Приватне акціонерне товариство "Хорольський механічний завод"</w:t>
      </w:r>
    </w:p>
    <w:p w:rsidR="006D33C6" w:rsidRPr="006F5749" w:rsidRDefault="006D33C6" w:rsidP="006D33C6">
      <w:pPr>
        <w:tabs>
          <w:tab w:val="left" w:pos="284"/>
        </w:tabs>
        <w:jc w:val="both"/>
        <w:rPr>
          <w:b/>
          <w:iCs/>
        </w:rPr>
      </w:pPr>
      <w:r w:rsidRPr="006F5749">
        <w:rPr>
          <w:iCs/>
        </w:rPr>
        <w:t>(місцезнаходження: Полтавська обл., м. Хорол, вул. Небесної сотні, 106) (</w:t>
      </w:r>
      <w:r w:rsidRPr="006F5749">
        <w:t>далі – Товариство) повідомляє про скликання річних загальних зборів акціонерів Товариства (далі – загальні збори), які будуть проведені дистанційно у порядку,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 16.04.2021 №196 (далі – Тимчасовий порядок).</w:t>
      </w:r>
    </w:p>
    <w:p w:rsidR="006D33C6" w:rsidRPr="006F5749" w:rsidRDefault="006D33C6" w:rsidP="006D33C6">
      <w:r w:rsidRPr="006F5749">
        <w:t xml:space="preserve">Дата проведення загальних зборів (дата завершення голосування) – 27 червня 2022 року. </w:t>
      </w:r>
    </w:p>
    <w:p w:rsidR="006D33C6" w:rsidRPr="006F5749" w:rsidRDefault="006D33C6" w:rsidP="006D33C6">
      <w:r w:rsidRPr="006F5749">
        <w:t>Дата розміщення єдиного бюлетеня для голосування (дата початку голосування) – 16 червня 2022р.</w:t>
      </w:r>
    </w:p>
    <w:p w:rsidR="006D33C6" w:rsidRPr="006F5749" w:rsidRDefault="006D33C6" w:rsidP="006D33C6">
      <w:r w:rsidRPr="006F5749">
        <w:t xml:space="preserve">Єдиний бюлетень для голосування розміщуватиметься у вільному для акціонерів доступі на власному вебсайті Товариства http://mehzavod.com.ua/aktsioneram. </w:t>
      </w:r>
    </w:p>
    <w:p w:rsidR="006D33C6" w:rsidRPr="006F5749" w:rsidRDefault="006D33C6" w:rsidP="006D33C6">
      <w:pPr>
        <w:rPr>
          <w:b/>
          <w:iCs/>
        </w:rPr>
      </w:pPr>
      <w:r w:rsidRPr="006F5749">
        <w:t>Дата складення переліку акціонерів, які мають право на участь у загальних зборах акціонерів, – 21 червня 2022р.</w:t>
      </w:r>
    </w:p>
    <w:p w:rsidR="006D33C6" w:rsidRPr="006F5749" w:rsidRDefault="006D33C6" w:rsidP="006D33C6">
      <w:pPr>
        <w:tabs>
          <w:tab w:val="left" w:pos="284"/>
        </w:tabs>
        <w:jc w:val="both"/>
        <w:rPr>
          <w:b/>
          <w:iCs/>
        </w:rPr>
      </w:pPr>
    </w:p>
    <w:p w:rsidR="006D33C6" w:rsidRPr="006F5749" w:rsidRDefault="006D33C6" w:rsidP="006D33C6">
      <w:pPr>
        <w:tabs>
          <w:tab w:val="left" w:pos="284"/>
        </w:tabs>
        <w:jc w:val="center"/>
        <w:rPr>
          <w:b/>
          <w:iCs/>
        </w:rPr>
      </w:pPr>
      <w:r w:rsidRPr="006F5749">
        <w:rPr>
          <w:b/>
          <w:iCs/>
        </w:rPr>
        <w:t>Проект порядку денного:</w:t>
      </w:r>
    </w:p>
    <w:p w:rsidR="006D33C6" w:rsidRPr="006F5749" w:rsidRDefault="006D33C6" w:rsidP="006D33C6">
      <w:pPr>
        <w:tabs>
          <w:tab w:val="left" w:pos="284"/>
        </w:tabs>
        <w:jc w:val="both"/>
        <w:rPr>
          <w:b/>
          <w:iCs/>
        </w:rPr>
      </w:pPr>
      <w:r w:rsidRPr="006F5749">
        <w:rPr>
          <w:b/>
          <w:iCs/>
        </w:rPr>
        <w:t xml:space="preserve">1. Розгляд звіту </w:t>
      </w:r>
      <w:r>
        <w:rPr>
          <w:b/>
          <w:iCs/>
        </w:rPr>
        <w:t xml:space="preserve">Правління </w:t>
      </w:r>
      <w:r w:rsidRPr="006F5749">
        <w:rPr>
          <w:b/>
          <w:iCs/>
        </w:rPr>
        <w:t xml:space="preserve"> за 2021 рік та прийняття рішення за наслідками його розгляду.</w:t>
      </w:r>
    </w:p>
    <w:p w:rsidR="006D33C6" w:rsidRPr="006F5749" w:rsidRDefault="006D33C6" w:rsidP="006D33C6">
      <w:pPr>
        <w:tabs>
          <w:tab w:val="left" w:pos="284"/>
        </w:tabs>
        <w:jc w:val="both"/>
        <w:rPr>
          <w:iCs/>
        </w:rPr>
      </w:pPr>
      <w:r w:rsidRPr="006F5749">
        <w:rPr>
          <w:iCs/>
          <w:u w:val="single"/>
        </w:rPr>
        <w:t xml:space="preserve">Проект рішення: </w:t>
      </w:r>
      <w:r w:rsidRPr="006F5749">
        <w:rPr>
          <w:iCs/>
        </w:rPr>
        <w:t xml:space="preserve">Затвердити звіт </w:t>
      </w:r>
      <w:r>
        <w:rPr>
          <w:iCs/>
        </w:rPr>
        <w:t xml:space="preserve">Правління </w:t>
      </w:r>
      <w:r w:rsidRPr="006F5749">
        <w:rPr>
          <w:iCs/>
        </w:rPr>
        <w:t xml:space="preserve"> про результати фінансово-господарської діяльності</w:t>
      </w:r>
    </w:p>
    <w:p w:rsidR="006D33C6" w:rsidRPr="006F5749" w:rsidRDefault="006D33C6" w:rsidP="006D33C6">
      <w:pPr>
        <w:tabs>
          <w:tab w:val="left" w:pos="284"/>
        </w:tabs>
        <w:jc w:val="both"/>
        <w:rPr>
          <w:iCs/>
        </w:rPr>
      </w:pPr>
      <w:r w:rsidRPr="006F5749">
        <w:rPr>
          <w:iCs/>
        </w:rPr>
        <w:t>за 2021 рік.</w:t>
      </w:r>
    </w:p>
    <w:p w:rsidR="006D33C6" w:rsidRPr="006F5749" w:rsidRDefault="006D33C6" w:rsidP="006D33C6">
      <w:pPr>
        <w:tabs>
          <w:tab w:val="left" w:pos="284"/>
        </w:tabs>
        <w:jc w:val="both"/>
        <w:rPr>
          <w:b/>
          <w:iCs/>
        </w:rPr>
      </w:pPr>
      <w:r w:rsidRPr="006F5749">
        <w:rPr>
          <w:b/>
          <w:iCs/>
        </w:rPr>
        <w:t>2. Розгляд звіту Наглядової ради за 2021 рік та прийняття рішення за наслідками його розгляду.</w:t>
      </w:r>
    </w:p>
    <w:p w:rsidR="006D33C6" w:rsidRPr="006F5749" w:rsidRDefault="006D33C6" w:rsidP="006D33C6">
      <w:pPr>
        <w:tabs>
          <w:tab w:val="left" w:pos="284"/>
        </w:tabs>
        <w:jc w:val="both"/>
        <w:rPr>
          <w:iCs/>
        </w:rPr>
      </w:pPr>
      <w:r w:rsidRPr="006F5749">
        <w:rPr>
          <w:iCs/>
          <w:u w:val="single"/>
        </w:rPr>
        <w:t>Проект рішення:</w:t>
      </w:r>
      <w:r w:rsidRPr="006F5749">
        <w:rPr>
          <w:iCs/>
        </w:rPr>
        <w:t xml:space="preserve"> Затвердити звіт Наглядової ради за 2021 рік.</w:t>
      </w:r>
    </w:p>
    <w:p w:rsidR="006D33C6" w:rsidRPr="006F5749" w:rsidRDefault="006D33C6" w:rsidP="006D33C6">
      <w:pPr>
        <w:tabs>
          <w:tab w:val="left" w:pos="284"/>
        </w:tabs>
        <w:jc w:val="both"/>
        <w:rPr>
          <w:b/>
        </w:rPr>
      </w:pPr>
      <w:r w:rsidRPr="006F5749">
        <w:rPr>
          <w:b/>
        </w:rPr>
        <w:t xml:space="preserve">3. </w:t>
      </w:r>
      <w:r w:rsidRPr="006F5749">
        <w:rPr>
          <w:b/>
          <w:shd w:val="clear" w:color="auto" w:fill="FFFFFF"/>
        </w:rPr>
        <w:t>Розгляд висновків зовнішнього аудиту та затвердження заходів за результатами його розгляду</w:t>
      </w:r>
      <w:r w:rsidRPr="006F5749">
        <w:rPr>
          <w:b/>
        </w:rPr>
        <w:t>.</w:t>
      </w:r>
    </w:p>
    <w:p w:rsidR="006D33C6" w:rsidRPr="006F5749" w:rsidRDefault="006D33C6" w:rsidP="006D33C6">
      <w:pPr>
        <w:tabs>
          <w:tab w:val="left" w:pos="284"/>
        </w:tabs>
        <w:jc w:val="both"/>
      </w:pPr>
      <w:r w:rsidRPr="006F5749">
        <w:rPr>
          <w:u w:val="single"/>
        </w:rPr>
        <w:t>Проект рішення:</w:t>
      </w:r>
      <w:r w:rsidRPr="006F5749">
        <w:t xml:space="preserve"> </w:t>
      </w:r>
      <w:r>
        <w:t xml:space="preserve">Взяти до відому висновки </w:t>
      </w:r>
      <w:r w:rsidRPr="006F5749">
        <w:rPr>
          <w:shd w:val="clear" w:color="auto" w:fill="FFFFFF"/>
        </w:rPr>
        <w:t>зовнішнього аудиту</w:t>
      </w:r>
      <w:r>
        <w:rPr>
          <w:shd w:val="clear" w:color="auto" w:fill="FFFFFF"/>
        </w:rPr>
        <w:t xml:space="preserve"> фінансової звітності Товариства за 2021р. та доручити </w:t>
      </w:r>
      <w:r>
        <w:rPr>
          <w:shd w:val="clear" w:color="auto" w:fill="FFFFFF"/>
          <w:lang w:val="ru-RU"/>
        </w:rPr>
        <w:t>П</w:t>
      </w:r>
      <w:r>
        <w:rPr>
          <w:shd w:val="clear" w:color="auto" w:fill="FFFFFF"/>
        </w:rPr>
        <w:t>равлінню вжити заходів щодо виконання рекомендацій наданих незалежним аудитором.</w:t>
      </w:r>
    </w:p>
    <w:p w:rsidR="006D33C6" w:rsidRPr="006F5749" w:rsidRDefault="006D33C6" w:rsidP="006D33C6">
      <w:pPr>
        <w:tabs>
          <w:tab w:val="left" w:pos="284"/>
        </w:tabs>
        <w:jc w:val="both"/>
        <w:rPr>
          <w:b/>
          <w:iCs/>
        </w:rPr>
      </w:pPr>
      <w:r w:rsidRPr="006F5749">
        <w:rPr>
          <w:b/>
          <w:iCs/>
        </w:rPr>
        <w:t>4. Затвердження річного звіту за 2021 рік.</w:t>
      </w:r>
    </w:p>
    <w:p w:rsidR="006D33C6" w:rsidRPr="006F5749" w:rsidRDefault="006D33C6" w:rsidP="006D33C6">
      <w:pPr>
        <w:tabs>
          <w:tab w:val="left" w:pos="284"/>
        </w:tabs>
        <w:jc w:val="both"/>
        <w:rPr>
          <w:iCs/>
        </w:rPr>
      </w:pPr>
      <w:r w:rsidRPr="006F5749">
        <w:rPr>
          <w:iCs/>
          <w:u w:val="single"/>
        </w:rPr>
        <w:t>Проект рішення:</w:t>
      </w:r>
      <w:r w:rsidRPr="006F5749">
        <w:rPr>
          <w:iCs/>
        </w:rPr>
        <w:t xml:space="preserve"> Затвердити річний звіт за 2021 рік.</w:t>
      </w:r>
    </w:p>
    <w:p w:rsidR="006D33C6" w:rsidRPr="006F5749" w:rsidRDefault="006D33C6" w:rsidP="006D33C6">
      <w:pPr>
        <w:tabs>
          <w:tab w:val="left" w:pos="284"/>
        </w:tabs>
        <w:jc w:val="both"/>
        <w:rPr>
          <w:b/>
          <w:iCs/>
        </w:rPr>
      </w:pPr>
      <w:r w:rsidRPr="006F5749">
        <w:rPr>
          <w:b/>
          <w:iCs/>
        </w:rPr>
        <w:t>5. Розподіл прибутку і збитків за 2021 рік.</w:t>
      </w:r>
    </w:p>
    <w:p w:rsidR="006D33C6" w:rsidRPr="006F5749" w:rsidRDefault="006D33C6" w:rsidP="006D33C6">
      <w:pPr>
        <w:jc w:val="both"/>
      </w:pPr>
      <w:r w:rsidRPr="006F5749">
        <w:rPr>
          <w:iCs/>
          <w:u w:val="single"/>
        </w:rPr>
        <w:t>Проект рішення:</w:t>
      </w:r>
      <w:r w:rsidRPr="006F5749">
        <w:rPr>
          <w:iCs/>
        </w:rPr>
        <w:t xml:space="preserve"> Чистий прибуток товариства за 2021 рік в розмірі </w:t>
      </w:r>
      <w:r>
        <w:rPr>
          <w:color w:val="000000"/>
          <w:shd w:val="clear" w:color="auto" w:fill="FFFFFF"/>
        </w:rPr>
        <w:t>47 328 610,44</w:t>
      </w:r>
      <w:r w:rsidRPr="006F5749">
        <w:t xml:space="preserve"> </w:t>
      </w:r>
      <w:r w:rsidRPr="006F5749">
        <w:rPr>
          <w:iCs/>
        </w:rPr>
        <w:t xml:space="preserve">грн. розподілити наступним чином: </w:t>
      </w:r>
      <w:r>
        <w:rPr>
          <w:color w:val="000000"/>
          <w:shd w:val="clear" w:color="auto" w:fill="FFFFFF"/>
        </w:rPr>
        <w:t>9 394 946,40</w:t>
      </w:r>
      <w:r w:rsidRPr="006F5749">
        <w:t xml:space="preserve"> </w:t>
      </w:r>
      <w:r w:rsidRPr="006F5749">
        <w:rPr>
          <w:iCs/>
        </w:rPr>
        <w:t xml:space="preserve">грн. направити на виплату дивідендів; </w:t>
      </w:r>
      <w:r>
        <w:rPr>
          <w:color w:val="000000"/>
          <w:shd w:val="clear" w:color="auto" w:fill="FFFFFF"/>
        </w:rPr>
        <w:t>37 933 664,04</w:t>
      </w:r>
      <w:r w:rsidRPr="006F5749">
        <w:t xml:space="preserve"> </w:t>
      </w:r>
      <w:r w:rsidRPr="006F5749">
        <w:rPr>
          <w:iCs/>
        </w:rPr>
        <w:t>грн. направити на розвиток виробництва, поповнення обігових коштів, вирішення питань соціального характеру.</w:t>
      </w:r>
    </w:p>
    <w:p w:rsidR="006D33C6" w:rsidRPr="006F5749" w:rsidRDefault="006D33C6" w:rsidP="006D33C6">
      <w:pPr>
        <w:tabs>
          <w:tab w:val="left" w:pos="284"/>
        </w:tabs>
        <w:jc w:val="both"/>
        <w:rPr>
          <w:b/>
          <w:iCs/>
        </w:rPr>
      </w:pPr>
      <w:r w:rsidRPr="006F5749">
        <w:rPr>
          <w:b/>
          <w:iCs/>
        </w:rPr>
        <w:t>6. Затвердження розміру річних дивідендів та способу виплати дивідендів за 2021 рік.</w:t>
      </w:r>
    </w:p>
    <w:p w:rsidR="006D33C6" w:rsidRPr="006F5749" w:rsidRDefault="006D33C6" w:rsidP="006D33C6">
      <w:pPr>
        <w:tabs>
          <w:tab w:val="left" w:pos="284"/>
        </w:tabs>
        <w:jc w:val="both"/>
      </w:pPr>
      <w:r w:rsidRPr="006F5749">
        <w:rPr>
          <w:iCs/>
          <w:u w:val="single"/>
        </w:rPr>
        <w:t>Проект рішення:</w:t>
      </w:r>
      <w:r w:rsidRPr="006F5749">
        <w:rPr>
          <w:iCs/>
        </w:rPr>
        <w:t xml:space="preserve"> Затвердити річні дивіденди в розмірі </w:t>
      </w:r>
      <w:r>
        <w:rPr>
          <w:color w:val="000000"/>
          <w:shd w:val="clear" w:color="auto" w:fill="FFFFFF"/>
        </w:rPr>
        <w:t>9 394 946,40</w:t>
      </w:r>
      <w:r w:rsidRPr="006F5749">
        <w:t xml:space="preserve"> </w:t>
      </w:r>
      <w:r w:rsidRPr="006F5749">
        <w:rPr>
          <w:iCs/>
        </w:rPr>
        <w:t>грн. (</w:t>
      </w:r>
      <w:r>
        <w:rPr>
          <w:lang w:val="ru-RU"/>
        </w:rPr>
        <w:t>0,80</w:t>
      </w:r>
      <w:r w:rsidRPr="006F5749">
        <w:t xml:space="preserve"> </w:t>
      </w:r>
      <w:r w:rsidRPr="006F5749">
        <w:rPr>
          <w:iCs/>
        </w:rPr>
        <w:t>грн. на одну акцію). Затвердити спосіб виплати дивідендів – безпосередньо акціонерам.</w:t>
      </w:r>
    </w:p>
    <w:p w:rsidR="006D33C6" w:rsidRPr="006F5749" w:rsidRDefault="006D33C6" w:rsidP="006D33C6">
      <w:pPr>
        <w:tabs>
          <w:tab w:val="left" w:pos="284"/>
        </w:tabs>
        <w:jc w:val="center"/>
        <w:rPr>
          <w:iCs/>
        </w:rPr>
      </w:pPr>
      <w:r w:rsidRPr="006F5749">
        <w:rPr>
          <w:iCs/>
        </w:rPr>
        <w:t>Основні показники фінансово-господарської діяльності підприємства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2"/>
        <w:gridCol w:w="1688"/>
        <w:gridCol w:w="1533"/>
      </w:tblGrid>
      <w:tr w:rsidR="006D33C6" w:rsidRPr="006F5749" w:rsidTr="00DF6081">
        <w:tc>
          <w:tcPr>
            <w:tcW w:w="6582" w:type="dxa"/>
            <w:vMerge w:val="restart"/>
            <w:shd w:val="clear" w:color="auto" w:fill="auto"/>
          </w:tcPr>
          <w:p w:rsidR="006D33C6" w:rsidRPr="006F5749" w:rsidRDefault="006D33C6" w:rsidP="00DF6081">
            <w:pPr>
              <w:tabs>
                <w:tab w:val="left" w:pos="284"/>
              </w:tabs>
              <w:jc w:val="center"/>
              <w:rPr>
                <w:iCs/>
              </w:rPr>
            </w:pPr>
            <w:r w:rsidRPr="006F5749">
              <w:rPr>
                <w:iCs/>
              </w:rPr>
              <w:t>Найменування показника</w:t>
            </w:r>
          </w:p>
        </w:tc>
        <w:tc>
          <w:tcPr>
            <w:tcW w:w="3221" w:type="dxa"/>
            <w:gridSpan w:val="2"/>
            <w:shd w:val="clear" w:color="auto" w:fill="auto"/>
          </w:tcPr>
          <w:p w:rsidR="006D33C6" w:rsidRPr="006F5749" w:rsidRDefault="006D33C6" w:rsidP="00DF6081">
            <w:pPr>
              <w:tabs>
                <w:tab w:val="left" w:pos="284"/>
              </w:tabs>
              <w:jc w:val="center"/>
              <w:rPr>
                <w:iCs/>
              </w:rPr>
            </w:pPr>
            <w:r w:rsidRPr="006F5749">
              <w:rPr>
                <w:iCs/>
              </w:rPr>
              <w:t>період</w:t>
            </w:r>
          </w:p>
        </w:tc>
      </w:tr>
      <w:tr w:rsidR="006D33C6" w:rsidRPr="006F5749" w:rsidTr="00DF6081">
        <w:tc>
          <w:tcPr>
            <w:tcW w:w="6582" w:type="dxa"/>
            <w:vMerge/>
            <w:shd w:val="clear" w:color="auto" w:fill="auto"/>
          </w:tcPr>
          <w:p w:rsidR="006D33C6" w:rsidRPr="006F5749" w:rsidRDefault="006D33C6" w:rsidP="00DF6081">
            <w:pPr>
              <w:tabs>
                <w:tab w:val="left" w:pos="284"/>
              </w:tabs>
              <w:jc w:val="both"/>
              <w:rPr>
                <w:iCs/>
              </w:rPr>
            </w:pPr>
          </w:p>
        </w:tc>
        <w:tc>
          <w:tcPr>
            <w:tcW w:w="1688" w:type="dxa"/>
            <w:shd w:val="clear" w:color="auto" w:fill="auto"/>
          </w:tcPr>
          <w:p w:rsidR="006D33C6" w:rsidRPr="006F5749" w:rsidRDefault="006D33C6" w:rsidP="00DF6081">
            <w:pPr>
              <w:tabs>
                <w:tab w:val="left" w:pos="284"/>
              </w:tabs>
              <w:jc w:val="center"/>
              <w:rPr>
                <w:iCs/>
              </w:rPr>
            </w:pPr>
            <w:r w:rsidRPr="006F5749">
              <w:rPr>
                <w:iCs/>
              </w:rPr>
              <w:t>звітний</w:t>
            </w:r>
          </w:p>
        </w:tc>
        <w:tc>
          <w:tcPr>
            <w:tcW w:w="1533" w:type="dxa"/>
            <w:shd w:val="clear" w:color="auto" w:fill="auto"/>
          </w:tcPr>
          <w:p w:rsidR="006D33C6" w:rsidRPr="006F5749" w:rsidRDefault="006D33C6" w:rsidP="00DF6081">
            <w:pPr>
              <w:tabs>
                <w:tab w:val="left" w:pos="284"/>
              </w:tabs>
              <w:jc w:val="center"/>
              <w:rPr>
                <w:iCs/>
              </w:rPr>
            </w:pPr>
            <w:r w:rsidRPr="006F5749">
              <w:rPr>
                <w:iCs/>
              </w:rPr>
              <w:t>попередній</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Усього активів</w:t>
            </w:r>
          </w:p>
        </w:tc>
        <w:tc>
          <w:tcPr>
            <w:tcW w:w="1688" w:type="dxa"/>
            <w:shd w:val="clear" w:color="auto" w:fill="auto"/>
          </w:tcPr>
          <w:p w:rsidR="006D33C6" w:rsidRPr="001F7F1C" w:rsidRDefault="006D33C6" w:rsidP="00DF6081">
            <w:pPr>
              <w:jc w:val="center"/>
              <w:rPr>
                <w:lang w:val="ru-RU"/>
              </w:rPr>
            </w:pPr>
            <w:r>
              <w:rPr>
                <w:lang w:val="ru-RU"/>
              </w:rPr>
              <w:t>541284</w:t>
            </w:r>
          </w:p>
        </w:tc>
        <w:tc>
          <w:tcPr>
            <w:tcW w:w="1533" w:type="dxa"/>
            <w:shd w:val="clear" w:color="auto" w:fill="auto"/>
          </w:tcPr>
          <w:p w:rsidR="006D33C6" w:rsidRPr="006F5749" w:rsidRDefault="006D33C6" w:rsidP="00DF6081">
            <w:pPr>
              <w:jc w:val="center"/>
            </w:pPr>
            <w:r w:rsidRPr="006F5749">
              <w:t>481283</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Основні засоби (за залишковою вартістю)</w:t>
            </w:r>
          </w:p>
        </w:tc>
        <w:tc>
          <w:tcPr>
            <w:tcW w:w="1688" w:type="dxa"/>
            <w:shd w:val="clear" w:color="auto" w:fill="auto"/>
          </w:tcPr>
          <w:p w:rsidR="006D33C6" w:rsidRPr="001F7F1C" w:rsidRDefault="006D33C6" w:rsidP="00DF6081">
            <w:pPr>
              <w:jc w:val="center"/>
              <w:rPr>
                <w:lang w:val="ru-RU"/>
              </w:rPr>
            </w:pPr>
            <w:r>
              <w:rPr>
                <w:lang w:val="ru-RU"/>
              </w:rPr>
              <w:t>34081</w:t>
            </w:r>
          </w:p>
        </w:tc>
        <w:tc>
          <w:tcPr>
            <w:tcW w:w="1533" w:type="dxa"/>
            <w:shd w:val="clear" w:color="auto" w:fill="auto"/>
          </w:tcPr>
          <w:p w:rsidR="006D33C6" w:rsidRPr="006F5749" w:rsidRDefault="006D33C6" w:rsidP="00DF6081">
            <w:pPr>
              <w:jc w:val="center"/>
            </w:pPr>
            <w:r w:rsidRPr="006F5749">
              <w:t>34329</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Запаси</w:t>
            </w:r>
            <w:r w:rsidRPr="006F5749">
              <w:rPr>
                <w:iCs/>
              </w:rPr>
              <w:tab/>
            </w:r>
          </w:p>
        </w:tc>
        <w:tc>
          <w:tcPr>
            <w:tcW w:w="1688" w:type="dxa"/>
            <w:shd w:val="clear" w:color="auto" w:fill="auto"/>
          </w:tcPr>
          <w:p w:rsidR="006D33C6" w:rsidRPr="001F7F1C" w:rsidRDefault="006D33C6" w:rsidP="00DF6081">
            <w:pPr>
              <w:jc w:val="center"/>
              <w:rPr>
                <w:lang w:val="ru-RU"/>
              </w:rPr>
            </w:pPr>
            <w:r>
              <w:rPr>
                <w:lang w:val="ru-RU"/>
              </w:rPr>
              <w:t>48144</w:t>
            </w:r>
          </w:p>
        </w:tc>
        <w:tc>
          <w:tcPr>
            <w:tcW w:w="1533" w:type="dxa"/>
            <w:shd w:val="clear" w:color="auto" w:fill="auto"/>
          </w:tcPr>
          <w:p w:rsidR="006D33C6" w:rsidRPr="006F5749" w:rsidRDefault="006D33C6" w:rsidP="00DF6081">
            <w:pPr>
              <w:jc w:val="center"/>
            </w:pPr>
            <w:r w:rsidRPr="006F5749">
              <w:t>29338</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Сумарна дебіторська заборгованість</w:t>
            </w:r>
          </w:p>
        </w:tc>
        <w:tc>
          <w:tcPr>
            <w:tcW w:w="1688" w:type="dxa"/>
            <w:shd w:val="clear" w:color="auto" w:fill="auto"/>
          </w:tcPr>
          <w:p w:rsidR="006D33C6" w:rsidRPr="001F7F1C" w:rsidRDefault="006D33C6" w:rsidP="00DF6081">
            <w:pPr>
              <w:jc w:val="center"/>
              <w:rPr>
                <w:lang w:val="ru-RU"/>
              </w:rPr>
            </w:pPr>
            <w:r>
              <w:rPr>
                <w:lang w:val="ru-RU"/>
              </w:rPr>
              <w:t>17284</w:t>
            </w:r>
          </w:p>
        </w:tc>
        <w:tc>
          <w:tcPr>
            <w:tcW w:w="1533" w:type="dxa"/>
            <w:shd w:val="clear" w:color="auto" w:fill="auto"/>
          </w:tcPr>
          <w:p w:rsidR="006D33C6" w:rsidRPr="006F5749" w:rsidRDefault="006D33C6" w:rsidP="00DF6081">
            <w:pPr>
              <w:jc w:val="center"/>
            </w:pPr>
            <w:r w:rsidRPr="006F5749">
              <w:t>8546</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Гроші та їх еквіваленти</w:t>
            </w:r>
          </w:p>
        </w:tc>
        <w:tc>
          <w:tcPr>
            <w:tcW w:w="1688" w:type="dxa"/>
            <w:shd w:val="clear" w:color="auto" w:fill="auto"/>
          </w:tcPr>
          <w:p w:rsidR="006D33C6" w:rsidRPr="001F7F1C" w:rsidRDefault="006D33C6" w:rsidP="00DF6081">
            <w:pPr>
              <w:jc w:val="center"/>
              <w:rPr>
                <w:lang w:val="ru-RU"/>
              </w:rPr>
            </w:pPr>
            <w:r>
              <w:rPr>
                <w:lang w:val="ru-RU"/>
              </w:rPr>
              <w:t>431694</w:t>
            </w:r>
          </w:p>
        </w:tc>
        <w:tc>
          <w:tcPr>
            <w:tcW w:w="1533" w:type="dxa"/>
            <w:shd w:val="clear" w:color="auto" w:fill="auto"/>
          </w:tcPr>
          <w:p w:rsidR="006D33C6" w:rsidRPr="006F5749" w:rsidRDefault="006D33C6" w:rsidP="00DF6081">
            <w:pPr>
              <w:jc w:val="center"/>
            </w:pPr>
            <w:r w:rsidRPr="006F5749">
              <w:t>400010</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Нерозподілений прибуток (непокритий збиток)</w:t>
            </w:r>
            <w:r w:rsidRPr="006F5749">
              <w:rPr>
                <w:iCs/>
              </w:rPr>
              <w:tab/>
            </w:r>
          </w:p>
        </w:tc>
        <w:tc>
          <w:tcPr>
            <w:tcW w:w="1688" w:type="dxa"/>
            <w:shd w:val="clear" w:color="auto" w:fill="auto"/>
          </w:tcPr>
          <w:p w:rsidR="006D33C6" w:rsidRPr="001F7F1C" w:rsidRDefault="006D33C6" w:rsidP="00DF6081">
            <w:pPr>
              <w:jc w:val="center"/>
              <w:rPr>
                <w:lang w:val="ru-RU"/>
              </w:rPr>
            </w:pPr>
            <w:r>
              <w:rPr>
                <w:lang w:val="ru-RU"/>
              </w:rPr>
              <w:t>12650</w:t>
            </w:r>
          </w:p>
        </w:tc>
        <w:tc>
          <w:tcPr>
            <w:tcW w:w="1533" w:type="dxa"/>
            <w:shd w:val="clear" w:color="auto" w:fill="auto"/>
          </w:tcPr>
          <w:p w:rsidR="006D33C6" w:rsidRPr="006F5749" w:rsidRDefault="006D33C6" w:rsidP="00DF6081">
            <w:pPr>
              <w:jc w:val="center"/>
            </w:pPr>
            <w:r w:rsidRPr="006F5749">
              <w:t>49236</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Власний капітал</w:t>
            </w:r>
          </w:p>
        </w:tc>
        <w:tc>
          <w:tcPr>
            <w:tcW w:w="1688" w:type="dxa"/>
            <w:shd w:val="clear" w:color="auto" w:fill="auto"/>
          </w:tcPr>
          <w:p w:rsidR="006D33C6" w:rsidRPr="001F7F1C" w:rsidRDefault="006D33C6" w:rsidP="00DF6081">
            <w:pPr>
              <w:jc w:val="center"/>
              <w:rPr>
                <w:lang w:val="ru-RU"/>
              </w:rPr>
            </w:pPr>
            <w:r>
              <w:rPr>
                <w:lang w:val="ru-RU"/>
              </w:rPr>
              <w:t>448713</w:t>
            </w:r>
          </w:p>
        </w:tc>
        <w:tc>
          <w:tcPr>
            <w:tcW w:w="1533" w:type="dxa"/>
            <w:shd w:val="clear" w:color="auto" w:fill="auto"/>
          </w:tcPr>
          <w:p w:rsidR="006D33C6" w:rsidRPr="006F5749" w:rsidRDefault="006D33C6" w:rsidP="00DF6081">
            <w:pPr>
              <w:jc w:val="center"/>
            </w:pPr>
            <w:r w:rsidRPr="006F5749">
              <w:t>406314</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Зареєстрований (пайовий/статутний) капітал</w:t>
            </w:r>
          </w:p>
        </w:tc>
        <w:tc>
          <w:tcPr>
            <w:tcW w:w="1688" w:type="dxa"/>
            <w:shd w:val="clear" w:color="auto" w:fill="auto"/>
          </w:tcPr>
          <w:p w:rsidR="006D33C6" w:rsidRPr="001F7F1C" w:rsidRDefault="006D33C6" w:rsidP="00DF6081">
            <w:pPr>
              <w:jc w:val="center"/>
              <w:rPr>
                <w:lang w:val="ru-RU"/>
              </w:rPr>
            </w:pPr>
            <w:r>
              <w:rPr>
                <w:lang w:val="ru-RU"/>
              </w:rPr>
              <w:t>2936</w:t>
            </w:r>
          </w:p>
        </w:tc>
        <w:tc>
          <w:tcPr>
            <w:tcW w:w="1533" w:type="dxa"/>
            <w:shd w:val="clear" w:color="auto" w:fill="auto"/>
          </w:tcPr>
          <w:p w:rsidR="006D33C6" w:rsidRPr="006F5749" w:rsidRDefault="006D33C6" w:rsidP="00DF6081">
            <w:pPr>
              <w:jc w:val="center"/>
            </w:pPr>
            <w:r w:rsidRPr="006F5749">
              <w:t>2936</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Довгострокові зобов'язання і забезпечення</w:t>
            </w:r>
          </w:p>
        </w:tc>
        <w:tc>
          <w:tcPr>
            <w:tcW w:w="1688" w:type="dxa"/>
            <w:shd w:val="clear" w:color="auto" w:fill="auto"/>
          </w:tcPr>
          <w:p w:rsidR="006D33C6" w:rsidRPr="001F7F1C" w:rsidRDefault="006D33C6" w:rsidP="00DF6081">
            <w:pPr>
              <w:jc w:val="center"/>
              <w:rPr>
                <w:lang w:val="ru-RU"/>
              </w:rPr>
            </w:pPr>
            <w:r>
              <w:rPr>
                <w:lang w:val="ru-RU"/>
              </w:rPr>
              <w:t>0</w:t>
            </w:r>
          </w:p>
        </w:tc>
        <w:tc>
          <w:tcPr>
            <w:tcW w:w="1533" w:type="dxa"/>
            <w:shd w:val="clear" w:color="auto" w:fill="auto"/>
          </w:tcPr>
          <w:p w:rsidR="006D33C6" w:rsidRPr="006F5749" w:rsidRDefault="006D33C6" w:rsidP="00DF6081">
            <w:pPr>
              <w:jc w:val="center"/>
            </w:pPr>
            <w:r w:rsidRPr="006F5749">
              <w:t>3291</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Поточні зобов'язання і забезпечення</w:t>
            </w:r>
          </w:p>
        </w:tc>
        <w:tc>
          <w:tcPr>
            <w:tcW w:w="1688" w:type="dxa"/>
            <w:shd w:val="clear" w:color="auto" w:fill="auto"/>
          </w:tcPr>
          <w:p w:rsidR="006D33C6" w:rsidRPr="001F7F1C" w:rsidRDefault="006D33C6" w:rsidP="00DF6081">
            <w:pPr>
              <w:jc w:val="center"/>
              <w:rPr>
                <w:lang w:val="ru-RU"/>
              </w:rPr>
            </w:pPr>
            <w:r>
              <w:rPr>
                <w:lang w:val="ru-RU"/>
              </w:rPr>
              <w:t>92571</w:t>
            </w:r>
          </w:p>
        </w:tc>
        <w:tc>
          <w:tcPr>
            <w:tcW w:w="1533" w:type="dxa"/>
            <w:shd w:val="clear" w:color="auto" w:fill="auto"/>
          </w:tcPr>
          <w:p w:rsidR="006D33C6" w:rsidRPr="006F5749" w:rsidRDefault="006D33C6" w:rsidP="00DF6081">
            <w:pPr>
              <w:jc w:val="center"/>
            </w:pPr>
            <w:r w:rsidRPr="006F5749">
              <w:t>71678</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Чистий фінансовий результат: прибуток (збиток)</w:t>
            </w:r>
          </w:p>
        </w:tc>
        <w:tc>
          <w:tcPr>
            <w:tcW w:w="1688" w:type="dxa"/>
            <w:shd w:val="clear" w:color="auto" w:fill="auto"/>
          </w:tcPr>
          <w:p w:rsidR="006D33C6" w:rsidRPr="001F7F1C" w:rsidRDefault="006D33C6" w:rsidP="00DF6081">
            <w:pPr>
              <w:jc w:val="center"/>
              <w:rPr>
                <w:lang w:val="ru-RU"/>
              </w:rPr>
            </w:pPr>
            <w:r>
              <w:rPr>
                <w:lang w:val="ru-RU"/>
              </w:rPr>
              <w:t>47328</w:t>
            </w:r>
          </w:p>
        </w:tc>
        <w:tc>
          <w:tcPr>
            <w:tcW w:w="1533" w:type="dxa"/>
            <w:shd w:val="clear" w:color="auto" w:fill="auto"/>
          </w:tcPr>
          <w:p w:rsidR="006D33C6" w:rsidRPr="006F5749" w:rsidRDefault="006D33C6" w:rsidP="00DF6081">
            <w:pPr>
              <w:jc w:val="center"/>
            </w:pPr>
            <w:r w:rsidRPr="006F5749">
              <w:t>57457</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Середньорічна кількість акцій (шт.)</w:t>
            </w:r>
          </w:p>
        </w:tc>
        <w:tc>
          <w:tcPr>
            <w:tcW w:w="1688" w:type="dxa"/>
            <w:shd w:val="clear" w:color="auto" w:fill="auto"/>
          </w:tcPr>
          <w:p w:rsidR="006D33C6" w:rsidRPr="006F5749" w:rsidRDefault="006D33C6" w:rsidP="00DF6081">
            <w:pPr>
              <w:jc w:val="center"/>
            </w:pPr>
            <w:r w:rsidRPr="006F5749">
              <w:t>11743683</w:t>
            </w:r>
          </w:p>
        </w:tc>
        <w:tc>
          <w:tcPr>
            <w:tcW w:w="1533" w:type="dxa"/>
            <w:shd w:val="clear" w:color="auto" w:fill="auto"/>
          </w:tcPr>
          <w:p w:rsidR="006D33C6" w:rsidRPr="006F5749" w:rsidRDefault="006D33C6" w:rsidP="00DF6081">
            <w:pPr>
              <w:jc w:val="center"/>
            </w:pPr>
            <w:r w:rsidRPr="006F5749">
              <w:t>11743683</w:t>
            </w:r>
          </w:p>
        </w:tc>
      </w:tr>
      <w:tr w:rsidR="006D33C6" w:rsidRPr="006F5749" w:rsidTr="00DF6081">
        <w:tc>
          <w:tcPr>
            <w:tcW w:w="6582" w:type="dxa"/>
            <w:shd w:val="clear" w:color="auto" w:fill="auto"/>
          </w:tcPr>
          <w:p w:rsidR="006D33C6" w:rsidRPr="006F5749" w:rsidRDefault="006D33C6" w:rsidP="00DF6081">
            <w:pPr>
              <w:tabs>
                <w:tab w:val="left" w:pos="284"/>
              </w:tabs>
              <w:jc w:val="both"/>
              <w:rPr>
                <w:iCs/>
              </w:rPr>
            </w:pPr>
            <w:r w:rsidRPr="006F5749">
              <w:rPr>
                <w:iCs/>
              </w:rPr>
              <w:t>Чистий прибуток (збиток) на одну просту акцію (грн)</w:t>
            </w:r>
          </w:p>
        </w:tc>
        <w:tc>
          <w:tcPr>
            <w:tcW w:w="1688" w:type="dxa"/>
            <w:shd w:val="clear" w:color="auto" w:fill="auto"/>
          </w:tcPr>
          <w:p w:rsidR="006D33C6" w:rsidRPr="001F7F1C" w:rsidRDefault="006D33C6" w:rsidP="00DF6081">
            <w:pPr>
              <w:jc w:val="center"/>
              <w:rPr>
                <w:lang w:val="ru-RU"/>
              </w:rPr>
            </w:pPr>
            <w:r>
              <w:rPr>
                <w:lang w:val="ru-RU"/>
              </w:rPr>
              <w:t>4,03008</w:t>
            </w:r>
          </w:p>
        </w:tc>
        <w:tc>
          <w:tcPr>
            <w:tcW w:w="1533" w:type="dxa"/>
            <w:shd w:val="clear" w:color="auto" w:fill="auto"/>
          </w:tcPr>
          <w:p w:rsidR="006D33C6" w:rsidRPr="006F5749" w:rsidRDefault="006D33C6" w:rsidP="00DF6081">
            <w:pPr>
              <w:jc w:val="center"/>
            </w:pPr>
            <w:r w:rsidRPr="006F5749">
              <w:t>4,89259</w:t>
            </w:r>
          </w:p>
        </w:tc>
      </w:tr>
    </w:tbl>
    <w:p w:rsidR="006D33C6" w:rsidRPr="006F5749" w:rsidRDefault="006D33C6" w:rsidP="006D33C6">
      <w:pPr>
        <w:tabs>
          <w:tab w:val="left" w:pos="284"/>
        </w:tabs>
        <w:ind w:firstLine="480"/>
        <w:jc w:val="both"/>
        <w:rPr>
          <w:iCs/>
        </w:rPr>
      </w:pPr>
    </w:p>
    <w:p w:rsidR="006D33C6" w:rsidRPr="00406937" w:rsidRDefault="006D33C6" w:rsidP="006D33C6">
      <w:pPr>
        <w:ind w:firstLine="480"/>
        <w:jc w:val="both"/>
      </w:pPr>
      <w:r w:rsidRPr="00406937">
        <w:t xml:space="preserve">Акціонери до дати проведення загальних зборів мають право ознайомитись з матеріалами до загальних зборів та документами, необхідними для прийняття рішень з питань, включених до </w:t>
      </w:r>
      <w:r w:rsidRPr="00406937">
        <w:lastRenderedPageBreak/>
        <w:t>проекту порядку денного. Запит на ознайомлення з документами, необхідними акціонерам для прийняття рішень з питань, включених до проекту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зазначену в цьому повідомленні нижче.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6D33C6" w:rsidRPr="006F5749" w:rsidRDefault="006D33C6" w:rsidP="006D33C6">
      <w:pPr>
        <w:ind w:firstLine="480"/>
        <w:jc w:val="both"/>
      </w:pPr>
      <w:r w:rsidRPr="00406937">
        <w:t xml:space="preserve">Особою, відповідальною за ознайомлення акціонерів з документами, є </w:t>
      </w:r>
      <w:r w:rsidRPr="00406937">
        <w:rPr>
          <w:iCs/>
          <w:shd w:val="clear" w:color="auto" w:fill="FFFFFF"/>
        </w:rPr>
        <w:t>Голова Наглядової ради Товариства</w:t>
      </w:r>
      <w:r w:rsidRPr="00406937">
        <w:t xml:space="preserve"> Полуектов Генадій Олексійович, телефон (050) </w:t>
      </w:r>
      <w:r w:rsidRPr="00406937">
        <w:rPr>
          <w:iCs/>
          <w:shd w:val="clear" w:color="auto" w:fill="FFFFFF"/>
        </w:rPr>
        <w:t>325-44-66</w:t>
      </w:r>
      <w:r w:rsidRPr="00406937">
        <w:t>. Адреса електронної пошти, на яку акціонер може направити запит щодо ознайомлення з матеріалами під час</w:t>
      </w:r>
      <w:r w:rsidRPr="006F5749">
        <w:t xml:space="preserve"> підготовки до загальних зборів та/або запитання щодо порядку денного загальних зборів та/або направити пропозиції до проекту порядку денного загальних зборів та проектів рішень – office@mehzavod.com.ua. 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 </w:t>
      </w:r>
      <w:hyperlink r:id="rId4" w:history="1">
        <w:r w:rsidRPr="006F5749">
          <w:rPr>
            <w:rStyle w:val="a3"/>
          </w:rPr>
          <w:t>http://mehzavod.com.ua/aktsioneram</w:t>
        </w:r>
      </w:hyperlink>
      <w:r w:rsidRPr="006F5749">
        <w:t>.</w:t>
      </w:r>
    </w:p>
    <w:p w:rsidR="006D33C6" w:rsidRPr="006F5749" w:rsidRDefault="006D33C6" w:rsidP="006D33C6">
      <w:pPr>
        <w:ind w:firstLine="480"/>
        <w:jc w:val="both"/>
      </w:pPr>
      <w:r w:rsidRPr="006F5749">
        <w:t xml:space="preserve">Акціонери мають право надсилати свої пропозиції до проекту порядку денного за адресою: </w:t>
      </w:r>
      <w:r w:rsidRPr="006F5749">
        <w:rPr>
          <w:spacing w:val="-2"/>
        </w:rPr>
        <w:t xml:space="preserve">37800, </w:t>
      </w:r>
      <w:r w:rsidRPr="006F5749">
        <w:t xml:space="preserve">Полтавська обл., м. Хорол, вул. Небесної сотні, 106 не пізніше ніж за 20 днів до дня проведення загальних зборів, зборів. Пропозиції подаються в письмовій формі та мають містити прізвище, ім’я, по батькові або найменування акціонера(ів), який її вносить, кількість та тип належних йому акцій Товариства, запропоноване питання для включення до порядку денного з проектом рішення та/або проект рішення до питання, включеного до порядку денного.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w:t>
      </w:r>
      <w:r>
        <w:t>Нагляд</w:t>
      </w:r>
      <w:r w:rsidRPr="006F5749">
        <w:t xml:space="preserve">овою радою акціонеру протягом 3 днів з моменту його прийняття. Пропозиція до проекту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зазначену в цьому повідомленні вище. Акціонери мають право у встановлений чинним законодавством України строк оскаржувати до суду рішення про відмову у включенні їх пропозицій до порядку денного загальних зборів. </w:t>
      </w:r>
    </w:p>
    <w:p w:rsidR="006D33C6" w:rsidRPr="006F5749" w:rsidRDefault="006D33C6" w:rsidP="006D33C6">
      <w:pPr>
        <w:ind w:firstLine="480"/>
        <w:jc w:val="both"/>
      </w:pPr>
      <w:r w:rsidRPr="006F5749">
        <w:t xml:space="preserve">Голосування на загальних зборах розпочинається 16 червня 2022р. з моменту розміщення єдиного бюлетеня для голосування на власному вебсайті Товариства http://mehzavod.com.ua/aktsioneram та завершується о 18 годині 27 червня 2022р. Голосування на загальних зборах з питань порядку денного проводиться виключно з використанням єдиного бюлетеня для голосування. Голосування проводиться шляхом подання заповнених бюлетенів для голосування депозитарній установі, яка обслуговує рахунок акціонера в цінних паперах, на якому обліковуються належні акціонеру акції Товариства на дату складення переліку акціонерів, які мають право на участь у загальних зборах Товариства. Кількість голосів акціонера в бюлетені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Бюлетень, що був отриманий депозитарною установою після завершення часу, відведеного на голосування, вважається таким, що не поданий. Бюлетені для голосування на загальних зборах засвідчується одним з наступних способів за вибором акціонера: 1) за допомогою кваліфікованого електронного підпису акціонера (його представника); 2) нотаріально, за умови підписання бюлетеня в присутності нотаріуса або посадової особи, яка вчиняє нотаріальні дії; 3) депозитарною установою, яка обслуговує рахунок в цінних паперах такого акціонера, на якому обліковуються належні акціонеру акції Товариства, </w:t>
      </w:r>
      <w:r w:rsidRPr="006F5749">
        <w:lastRenderedPageBreak/>
        <w:t>за умови підписання бюлетеня в присутності уповноваженої особи депозитарної установи. 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 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Товариства. Акціонер має право призначити свого представника постійно або на певний строк. 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Товариства декільком своїм представникам. 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 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1429DA" w:rsidRDefault="006D33C6" w:rsidP="006D33C6">
      <w:pPr>
        <w:ind w:firstLine="480"/>
        <w:jc w:val="both"/>
      </w:pPr>
      <w:r w:rsidRPr="006F5749">
        <w:t>Особам, яким депозитарною установою відкрито рахунок в цінних паперах на підставі договору з Товариством, необхідно укласти договір з депозитарною установою для забезпечення реалізації права на участь у дистанційних загальних зборах акціонерів Товариства.</w:t>
      </w:r>
      <w:bookmarkStart w:id="0" w:name="_GoBack"/>
      <w:bookmarkEnd w:id="0"/>
    </w:p>
    <w:sectPr w:rsidR="001429DA"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oNotDisplayPageBoundaries/>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C6"/>
    <w:rsid w:val="001429DA"/>
    <w:rsid w:val="006D33C6"/>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C7062-D6A0-4DE3-A786-B04EDC21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C6"/>
    <w:rPr>
      <w:rFonts w:eastAsia="Times New Roman" w:cs="Times New Roman"/>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33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hzavod.com.ua/aktsione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1698</Words>
  <Characters>9682</Characters>
  <Application>Microsoft Office Word</Application>
  <DocSecurity>0</DocSecurity>
  <Lines>80</Lines>
  <Paragraphs>22</Paragraphs>
  <ScaleCrop>false</ScaleCrop>
  <Company/>
  <LinksUpToDate>false</LinksUpToDate>
  <CharactersWithSpaces>11358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2022-05-12T08:00:00Z</dcterms:created>
  <dcterms:modified xsi:type="dcterms:W3CDTF">2022-05-12T08:01:00Z</dcterms:modified>
</cp:coreProperties>
</file>