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0F" w:rsidRPr="00F4260F" w:rsidRDefault="00F4260F" w:rsidP="00F4260F">
      <w:pPr>
        <w:shd w:val="clear" w:color="auto" w:fill="FFFFFF"/>
        <w:spacing w:before="100" w:beforeAutospacing="1" w:after="100" w:afterAutospacing="1" w:line="305" w:lineRule="atLeast"/>
        <w:outlineLvl w:val="2"/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</w:pP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Титульний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аркуш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Повідомлення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(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Повідомлення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про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інформацію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)</w:t>
      </w:r>
    </w:p>
    <w:p w:rsidR="00F4260F" w:rsidRPr="00F4260F" w:rsidRDefault="00F4260F" w:rsidP="00F4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0" w:type="dxa"/>
        <w:tblInd w:w="-821" w:type="dxa"/>
        <w:shd w:val="clear" w:color="auto" w:fill="E4F1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"/>
        <w:gridCol w:w="773"/>
        <w:gridCol w:w="282"/>
        <w:gridCol w:w="1806"/>
        <w:gridCol w:w="282"/>
        <w:gridCol w:w="327"/>
        <w:gridCol w:w="1233"/>
        <w:gridCol w:w="304"/>
        <w:gridCol w:w="6422"/>
      </w:tblGrid>
      <w:tr w:rsidR="00F4260F" w:rsidRPr="00F4260F" w:rsidTr="00F4260F">
        <w:trPr>
          <w:gridBefore w:val="1"/>
        </w:trPr>
        <w:tc>
          <w:tcPr>
            <w:tcW w:w="0" w:type="auto"/>
            <w:gridSpan w:val="8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ідтверджую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ідентичність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паперової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форм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подається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Комісії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достовірність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наданої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розкриття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загальнодоступній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інформаційній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базі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даних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Комісії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.</w:t>
            </w:r>
          </w:p>
        </w:tc>
      </w:tr>
      <w:tr w:rsidR="00F4260F" w:rsidRPr="00F4260F" w:rsidTr="00F4260F">
        <w:trPr>
          <w:gridBefore w:val="1"/>
        </w:trPr>
        <w:tc>
          <w:tcPr>
            <w:tcW w:w="0" w:type="auto"/>
            <w:gridSpan w:val="8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</w:tr>
      <w:tr w:rsidR="00F4260F" w:rsidRPr="00F4260F" w:rsidTr="00F4260F">
        <w:trPr>
          <w:gridBefore w:val="1"/>
        </w:trPr>
        <w:tc>
          <w:tcPr>
            <w:tcW w:w="4263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Голова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правління</w:t>
            </w:r>
            <w:proofErr w:type="spellEnd"/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3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Міщенко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М.І.</w:t>
            </w:r>
          </w:p>
        </w:tc>
      </w:tr>
      <w:tr w:rsidR="00F4260F" w:rsidRPr="00F4260F" w:rsidTr="00F4260F">
        <w:trPr>
          <w:gridAfter w:val="1"/>
          <w:wAfter w:w="971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ідпис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ізвище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ініціали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керівника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)</w:t>
            </w:r>
          </w:p>
        </w:tc>
      </w:tr>
      <w:tr w:rsidR="00F4260F" w:rsidRPr="00F4260F" w:rsidTr="00F4260F">
        <w:trPr>
          <w:gridBefore w:val="1"/>
        </w:trPr>
        <w:tc>
          <w:tcPr>
            <w:tcW w:w="0" w:type="auto"/>
            <w:gridSpan w:val="8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</w:tr>
      <w:tr w:rsidR="00F4260F" w:rsidRPr="00F4260F" w:rsidTr="00F4260F">
        <w:trPr>
          <w:gridBefore w:val="1"/>
        </w:trPr>
        <w:tc>
          <w:tcPr>
            <w:tcW w:w="0" w:type="auto"/>
            <w:gridSpan w:val="4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29.04.2015</w:t>
            </w:r>
          </w:p>
        </w:tc>
      </w:tr>
      <w:tr w:rsidR="00F4260F" w:rsidRPr="00F4260F" w:rsidTr="00F4260F">
        <w:trPr>
          <w:gridBefore w:val="1"/>
        </w:trPr>
        <w:tc>
          <w:tcPr>
            <w:tcW w:w="0" w:type="auto"/>
            <w:gridSpan w:val="4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40" w:lineRule="auto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(дата)</w:t>
            </w:r>
          </w:p>
        </w:tc>
      </w:tr>
    </w:tbl>
    <w:p w:rsidR="00F4260F" w:rsidRPr="00F4260F" w:rsidRDefault="00F4260F" w:rsidP="00F4260F">
      <w:pPr>
        <w:shd w:val="clear" w:color="auto" w:fill="FFFFFF"/>
        <w:spacing w:before="100" w:beforeAutospacing="1" w:after="100" w:afterAutospacing="1" w:line="305" w:lineRule="atLeast"/>
        <w:outlineLvl w:val="2"/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</w:pP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Особлива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інформація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емітента</w:t>
      </w:r>
      <w:proofErr w:type="spellEnd"/>
    </w:p>
    <w:tbl>
      <w:tblPr>
        <w:tblW w:w="9781" w:type="dxa"/>
        <w:tblInd w:w="150" w:type="dxa"/>
        <w:shd w:val="clear" w:color="auto" w:fill="E4F1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6173"/>
      </w:tblGrid>
      <w:tr w:rsidR="00F4260F" w:rsidRPr="00F4260F" w:rsidTr="00F4260F">
        <w:tc>
          <w:tcPr>
            <w:tcW w:w="978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Загальні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відомості</w:t>
            </w:r>
            <w:proofErr w:type="spellEnd"/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Повне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емітента</w:t>
            </w:r>
            <w:proofErr w:type="spellEnd"/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>Публічне</w:t>
            </w:r>
            <w:proofErr w:type="spellEnd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>акціонерне</w:t>
            </w:r>
            <w:proofErr w:type="spellEnd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>товариство</w:t>
            </w:r>
            <w:proofErr w:type="spellEnd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>Хорольський</w:t>
            </w:r>
            <w:proofErr w:type="spellEnd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>механічний</w:t>
            </w:r>
            <w:proofErr w:type="spellEnd"/>
            <w:r w:rsidRPr="00F4260F">
              <w:rPr>
                <w:rFonts w:ascii="Arial" w:eastAsia="Times New Roman" w:hAnsi="Arial" w:cs="Arial"/>
                <w:i/>
                <w:iCs/>
                <w:color w:val="00335C"/>
                <w:sz w:val="18"/>
                <w:szCs w:val="18"/>
                <w:lang w:eastAsia="ru-RU"/>
              </w:rPr>
              <w:t xml:space="preserve"> завод"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форма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емітента</w:t>
            </w:r>
            <w:proofErr w:type="spellEnd"/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Публічне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акціонерне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товариство</w:t>
            </w:r>
            <w:proofErr w:type="spellEnd"/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емітента</w:t>
            </w:r>
            <w:proofErr w:type="spellEnd"/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37800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Полтавська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обл., м. Хорол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вул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Леніна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, 106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4. Код за ЄДРПОУ</w:t>
            </w:r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14311353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Міжміський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код та телефон, факс</w:t>
            </w:r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(05362) 32-204 (05362) 32-204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Електронна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поштова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адреса</w:t>
            </w:r>
          </w:p>
        </w:tc>
        <w:tc>
          <w:tcPr>
            <w:tcW w:w="612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335C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B64A0F" wp14:editId="4743E7E2">
                      <wp:extent cx="304800" cy="304800"/>
                      <wp:effectExtent l="0" t="0" r="0" b="0"/>
                      <wp:docPr id="2" name="Прямоугольник 2" descr="http://smida.gov.ua/txttoimg/e_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://smida.gov.ua/txttoimg/e_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ua5Yr5&#10;AgAA9AU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4260F" w:rsidRPr="00F4260F" w:rsidTr="00F4260F">
        <w:tc>
          <w:tcPr>
            <w:tcW w:w="0" w:type="auto"/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6128" w:type="dxa"/>
            <w:shd w:val="clear" w:color="auto" w:fill="E4F1FF"/>
            <w:vAlign w:val="center"/>
            <w:hideMark/>
          </w:tcPr>
          <w:p w:rsidR="00F4260F" w:rsidRPr="00F4260F" w:rsidRDefault="00F4260F" w:rsidP="00F42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260F" w:rsidRPr="00F4260F" w:rsidRDefault="00F4260F" w:rsidP="00F426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4" w:type="dxa"/>
        <w:tblInd w:w="-701" w:type="dxa"/>
        <w:shd w:val="clear" w:color="auto" w:fill="E4F1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1995"/>
        <w:gridCol w:w="4815"/>
        <w:gridCol w:w="568"/>
      </w:tblGrid>
      <w:tr w:rsidR="00F4260F" w:rsidRPr="00F4260F" w:rsidTr="00F4260F">
        <w:trPr>
          <w:gridAfter w:val="1"/>
          <w:wAfter w:w="568" w:type="dxa"/>
        </w:trPr>
        <w:tc>
          <w:tcPr>
            <w:tcW w:w="10206" w:type="dxa"/>
            <w:gridSpan w:val="3"/>
            <w:shd w:val="clear" w:color="auto" w:fill="FFFFFF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II.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Дан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про дату та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місце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оприлюднення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Повідомлення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Повідомлення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інформацію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)</w:t>
            </w:r>
          </w:p>
        </w:tc>
      </w:tr>
      <w:tr w:rsidR="00F4260F" w:rsidRPr="00F4260F" w:rsidTr="00F4260F">
        <w:tc>
          <w:tcPr>
            <w:tcW w:w="10206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Повідомлення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розміщено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загальнодоступній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інформаційній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базі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даних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Комі</w:t>
            </w:r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с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ії</w:t>
            </w:r>
            <w:proofErr w:type="spellEnd"/>
          </w:p>
        </w:tc>
        <w:tc>
          <w:tcPr>
            <w:tcW w:w="56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</w:tr>
      <w:tr w:rsidR="00F4260F" w:rsidRPr="00F4260F" w:rsidTr="00F4260F">
        <w:tc>
          <w:tcPr>
            <w:tcW w:w="10206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(дата)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Повідомлення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опубліковано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у</w:t>
            </w:r>
          </w:p>
        </w:tc>
        <w:tc>
          <w:tcPr>
            <w:tcW w:w="6773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6773" w:type="dxa"/>
            <w:gridSpan w:val="2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(номер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офіційного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друкованого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видання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(дата)</w:t>
            </w:r>
          </w:p>
        </w:tc>
      </w:tr>
      <w:tr w:rsidR="00F4260F" w:rsidRPr="00F4260F" w:rsidTr="00F4260F">
        <w:tc>
          <w:tcPr>
            <w:tcW w:w="10774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Повідомлення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розміщено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www.mehzavod.com.ua</w:t>
            </w:r>
          </w:p>
        </w:tc>
        <w:tc>
          <w:tcPr>
            <w:tcW w:w="475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мережі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Інтернет</w:t>
            </w:r>
            <w:proofErr w:type="spellEnd"/>
          </w:p>
        </w:tc>
        <w:tc>
          <w:tcPr>
            <w:tcW w:w="56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</w:tr>
      <w:tr w:rsidR="00F4260F" w:rsidRPr="00F4260F" w:rsidTr="00F4260F"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(адреса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сторінки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75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CCCCCC"/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(дата)</w:t>
            </w:r>
          </w:p>
        </w:tc>
      </w:tr>
    </w:tbl>
    <w:p w:rsidR="00F4260F" w:rsidRPr="00F4260F" w:rsidRDefault="00F4260F" w:rsidP="00F4260F">
      <w:pPr>
        <w:shd w:val="clear" w:color="auto" w:fill="FFFFFF"/>
        <w:spacing w:before="100" w:beforeAutospacing="1" w:after="100" w:afterAutospacing="1" w:line="305" w:lineRule="atLeast"/>
        <w:outlineLvl w:val="2"/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</w:pP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Відомості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про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прийняття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proofErr w:type="gram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р</w:t>
      </w:r>
      <w:proofErr w:type="gram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ішення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про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викуп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власних</w:t>
      </w:r>
      <w:proofErr w:type="spellEnd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 xml:space="preserve"> </w:t>
      </w:r>
      <w:proofErr w:type="spellStart"/>
      <w:r w:rsidRPr="00F4260F">
        <w:rPr>
          <w:rFonts w:ascii="Arial" w:eastAsia="Times New Roman" w:hAnsi="Arial" w:cs="Arial"/>
          <w:b/>
          <w:bCs/>
          <w:color w:val="00335C"/>
          <w:sz w:val="21"/>
          <w:szCs w:val="21"/>
          <w:lang w:eastAsia="ru-RU"/>
        </w:rPr>
        <w:t>акцій</w:t>
      </w:r>
      <w:proofErr w:type="spellEnd"/>
    </w:p>
    <w:tbl>
      <w:tblPr>
        <w:tblW w:w="10933" w:type="dxa"/>
        <w:tblInd w:w="-701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276"/>
        <w:gridCol w:w="1276"/>
        <w:gridCol w:w="1417"/>
        <w:gridCol w:w="1418"/>
        <w:gridCol w:w="1700"/>
        <w:gridCol w:w="1420"/>
        <w:gridCol w:w="1860"/>
      </w:tblGrid>
      <w:tr w:rsidR="00F4260F" w:rsidRPr="00F4260F" w:rsidTr="00F4260F">
        <w:trPr>
          <w:tblHeader/>
        </w:trPr>
        <w:tc>
          <w:tcPr>
            <w:tcW w:w="56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lastRenderedPageBreak/>
              <w:t>№ з/</w:t>
            </w:r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ішення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Назва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органу,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який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прийняв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ішення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викуп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емітентом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власних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</w:p>
        </w:tc>
        <w:tc>
          <w:tcPr>
            <w:tcW w:w="14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(штук)</w:t>
            </w:r>
          </w:p>
        </w:tc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випуску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</w:p>
        </w:tc>
        <w:tc>
          <w:tcPr>
            <w:tcW w:w="17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св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ідоцтва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випуску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підлягають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</w:p>
        </w:tc>
        <w:tc>
          <w:tcPr>
            <w:tcW w:w="1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органу,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здійснив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державну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</w:t>
            </w:r>
            <w:bookmarkStart w:id="0" w:name="_GoBack"/>
            <w:bookmarkEnd w:id="0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ипуску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</w:p>
        </w:tc>
        <w:tc>
          <w:tcPr>
            <w:tcW w:w="18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Частка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від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розміру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статутного</w:t>
            </w:r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капіталу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(у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відсотках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)</w:t>
            </w:r>
          </w:p>
        </w:tc>
      </w:tr>
      <w:tr w:rsidR="00F4260F" w:rsidRPr="00F4260F" w:rsidTr="00F4260F">
        <w:trPr>
          <w:tblHeader/>
        </w:trPr>
        <w:tc>
          <w:tcPr>
            <w:tcW w:w="56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8</w:t>
            </w:r>
          </w:p>
        </w:tc>
      </w:tr>
      <w:tr w:rsidR="00F4260F" w:rsidRPr="00F4260F" w:rsidTr="00F4260F">
        <w:tc>
          <w:tcPr>
            <w:tcW w:w="56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29.04.2015</w:t>
            </w:r>
          </w:p>
        </w:tc>
        <w:tc>
          <w:tcPr>
            <w:tcW w:w="12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Загальні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збори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акціонері</w:t>
            </w:r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2358376</w:t>
            </w:r>
          </w:p>
        </w:tc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21.10.2014</w:t>
            </w:r>
          </w:p>
        </w:tc>
        <w:tc>
          <w:tcPr>
            <w:tcW w:w="17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126/1/2014</w:t>
            </w:r>
          </w:p>
        </w:tc>
        <w:tc>
          <w:tcPr>
            <w:tcW w:w="14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НКЦПФР</w:t>
            </w:r>
          </w:p>
        </w:tc>
        <w:tc>
          <w:tcPr>
            <w:tcW w:w="18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jc w:val="center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20</w:t>
            </w:r>
          </w:p>
        </w:tc>
      </w:tr>
      <w:tr w:rsidR="00F4260F" w:rsidRPr="00F4260F" w:rsidTr="00F4260F">
        <w:tc>
          <w:tcPr>
            <w:tcW w:w="10933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Змі</w:t>
            </w:r>
            <w:proofErr w:type="gram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F4260F">
              <w:rPr>
                <w:rFonts w:ascii="Arial" w:eastAsia="Times New Roman" w:hAnsi="Arial" w:cs="Arial"/>
                <w:b/>
                <w:bCs/>
                <w:color w:val="00335C"/>
                <w:sz w:val="18"/>
                <w:szCs w:val="18"/>
                <w:lang w:eastAsia="ru-RU"/>
              </w:rPr>
              <w:t>:</w:t>
            </w:r>
          </w:p>
        </w:tc>
      </w:tr>
      <w:tr w:rsidR="00F4260F" w:rsidRPr="00F4260F" w:rsidTr="00F4260F">
        <w:tc>
          <w:tcPr>
            <w:tcW w:w="10933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260F" w:rsidRPr="00F4260F" w:rsidRDefault="00F4260F" w:rsidP="00F4260F">
            <w:pPr>
              <w:spacing w:after="300" w:line="285" w:lineRule="atLeast"/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</w:pP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Загальними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зборами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акціонерів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ПАТ "ХМЗ" 29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квітня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2015 року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прийнято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ішення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ПАТ "ХМЗ". Строк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з 01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червня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2015 року по 31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грудня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2015 року. Мета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анулювання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викупляються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ринковою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вартістю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визначеною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суб`єктом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оціночної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затверджена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Наглядовою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радою.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Номінальна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вартість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становить 0,25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гривень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ринкова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вартість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становить 2,70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гривень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Прибуток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за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ічною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фінансовою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звітністю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(за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Міжнародними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стандартами) за 2014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рік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становить 2,35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гривень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.</w:t>
            </w: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прості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іменні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ПАТ "ХМЗ"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бездокументарної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форми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існування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- 2358376 штук,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становить 20% Статутного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капіталу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Акціонери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які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володіють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10 і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більше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відсотками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ПАТ "ХМЗ" станом до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- "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фізична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особа"</w:t>
            </w:r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.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 </w:t>
            </w: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br/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</w:t>
            </w:r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формація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членів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ради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органу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у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яких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викуповуються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відсутня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оскільки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Товариство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володіє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інформацією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наміри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членів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Наглядової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ради 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виконавчого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органу.</w:t>
            </w: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br/>
              <w:t xml:space="preserve">На дату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прийняття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ішення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власних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емітент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володіє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власними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акціями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.</w:t>
            </w:r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br/>
              <w:t xml:space="preserve">Дата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випуску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що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п</w:t>
            </w:r>
            <w:proofErr w:type="gram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ідлягають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викупу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21.10.2014р., номер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свідоцтва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випуску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№ 126/1/2014.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Державну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реєстрацію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випуску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акцій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>здійснено</w:t>
            </w:r>
            <w:proofErr w:type="spellEnd"/>
            <w:r w:rsidRPr="00F4260F">
              <w:rPr>
                <w:rFonts w:ascii="Arial" w:eastAsia="Times New Roman" w:hAnsi="Arial" w:cs="Arial"/>
                <w:color w:val="00335C"/>
                <w:sz w:val="18"/>
                <w:szCs w:val="18"/>
                <w:lang w:eastAsia="ru-RU"/>
              </w:rPr>
              <w:t xml:space="preserve"> НКЦПФР.</w:t>
            </w:r>
          </w:p>
        </w:tc>
      </w:tr>
    </w:tbl>
    <w:p w:rsidR="00DF356E" w:rsidRDefault="00DF356E"/>
    <w:sectPr w:rsidR="00DF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0F"/>
    <w:rsid w:val="00DF356E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F4260F"/>
  </w:style>
  <w:style w:type="character" w:customStyle="1" w:styleId="apple-converted-space">
    <w:name w:val="apple-converted-space"/>
    <w:basedOn w:val="a0"/>
    <w:rsid w:val="00F4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F4260F"/>
  </w:style>
  <w:style w:type="character" w:customStyle="1" w:styleId="apple-converted-space">
    <w:name w:val="apple-converted-space"/>
    <w:basedOn w:val="a0"/>
    <w:rsid w:val="00F4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polgen</dc:creator>
  <cp:lastModifiedBy>polgen</cp:lastModifiedBy>
  <cp:revision>1</cp:revision>
  <dcterms:created xsi:type="dcterms:W3CDTF">2015-10-21T16:24:00Z</dcterms:created>
  <dcterms:modified xsi:type="dcterms:W3CDTF">2015-10-21T16:28:00Z</dcterms:modified>
</cp:coreProperties>
</file>